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shd w:val="clear" w:color="auto" w:fill="ffffff"/>
        <w:spacing w:after="0" w:line="240" w:lineRule="auto"/>
        <w:outlineLvl w:val="0"/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</w:rPr>
      </w:pPr>
      <w:r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  <w:rtl w:val="0"/>
          <w:lang w:val="ru-RU"/>
        </w:rPr>
        <w:t>Установка плагина</w:t>
      </w:r>
    </w:p>
    <w:p>
      <w:pPr>
        <w:pStyle w:val="Normal.0"/>
        <w:shd w:val="clear" w:color="auto" w:fill="ffffff"/>
        <w:spacing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mc:AlternateContent>
          <mc:Choice Requires="wps">
            <w:drawing>
              <wp:inline distT="0" distB="0" distL="0" distR="0">
                <wp:extent cx="5943600" cy="19050"/>
                <wp:effectExtent l="0" t="0" r="0" b="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6" style="visibility:visible;width:468.0pt;height:1.5pt;">
                <v:fill color="#A0A0A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after="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Скопируйте содержимое папки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upload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в корень системы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modx (</w:t>
      </w:r>
      <w:r>
        <w:rPr>
          <w:rFonts w:ascii="Segoe UI" w:cs="Segoe UI" w:hAnsi="Segoe UI" w:eastAsia="Segoe UI"/>
          <w:color w:val="ff0000"/>
          <w:sz w:val="21"/>
          <w:szCs w:val="21"/>
          <w:u w:color="ff0000"/>
          <w:rtl w:val="0"/>
          <w:lang w:val="ru-RU"/>
        </w:rPr>
        <w:t>ВНИМАНИЕ</w:t>
      </w:r>
      <w:r>
        <w:rPr>
          <w:rFonts w:ascii="Segoe UI" w:cs="Segoe UI" w:hAnsi="Segoe UI" w:eastAsia="Segoe UI"/>
          <w:color w:val="ff0000"/>
          <w:sz w:val="21"/>
          <w:szCs w:val="21"/>
          <w:u w:color="ff0000"/>
          <w:rtl w:val="0"/>
          <w:lang w:val="ru-RU"/>
        </w:rPr>
        <w:t xml:space="preserve">! </w:t>
      </w:r>
      <w:r>
        <w:rPr>
          <w:rFonts w:ascii="Segoe UI" w:cs="Segoe UI" w:hAnsi="Segoe UI" w:eastAsia="Segoe UI"/>
          <w:color w:val="ff0000"/>
          <w:sz w:val="21"/>
          <w:szCs w:val="21"/>
          <w:u w:color="ff0000"/>
          <w:rtl w:val="0"/>
          <w:lang w:val="ru-RU"/>
        </w:rPr>
        <w:t xml:space="preserve">не саму папку </w:t>
      </w:r>
      <w:r>
        <w:rPr>
          <w:rFonts w:ascii="Segoe UI" w:cs="Segoe UI" w:hAnsi="Segoe UI" w:eastAsia="Segoe UI"/>
          <w:color w:val="ff0000"/>
          <w:sz w:val="21"/>
          <w:szCs w:val="21"/>
          <w:u w:color="ff0000"/>
          <w:rtl w:val="0"/>
          <w:lang w:val="ru-RU"/>
        </w:rPr>
        <w:t xml:space="preserve">upload, </w:t>
      </w:r>
      <w:r>
        <w:rPr>
          <w:rFonts w:ascii="Segoe UI" w:cs="Segoe UI" w:hAnsi="Segoe UI" w:eastAsia="Segoe UI"/>
          <w:color w:val="ff0000"/>
          <w:sz w:val="21"/>
          <w:szCs w:val="21"/>
          <w:u w:color="ff0000"/>
          <w:rtl w:val="0"/>
          <w:lang w:val="ru-RU"/>
        </w:rPr>
        <w:t>а ее содержимое</w:t>
      </w:r>
      <w:r>
        <w:rPr>
          <w:rFonts w:ascii="Segoe UI" w:cs="Segoe UI" w:hAnsi="Segoe UI" w:eastAsia="Segoe UI"/>
          <w:color w:val="ff0000"/>
          <w:sz w:val="21"/>
          <w:szCs w:val="21"/>
          <w:u w:color="ff0000"/>
          <w:rtl w:val="0"/>
          <w:lang w:val="ru-RU"/>
        </w:rPr>
        <w:t>!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).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after="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В админ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.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панели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Modx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зайдите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: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Приложения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-&gt; Minishop2 -&gt;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Настройки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-&gt;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Способы оплаты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-&gt;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Создать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after="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Заполните все поля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в поле Класс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-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обработчик указать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>ALFA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.</w:t>
      </w:r>
    </w:p>
    <w:p>
      <w:pPr>
        <w:pStyle w:val="Normal.0"/>
        <w:numPr>
          <w:ilvl w:val="0"/>
          <w:numId w:val="3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Открыть файл для редактирования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config.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>alfa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.php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и указать следующие параметры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: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  <w:br w:type="textWrapping"/>
      </w:r>
      <w:r>
        <w:rPr>
          <w:rFonts w:ascii="Segoe UI" w:cs="Segoe UI" w:hAnsi="Segoe UI" w:eastAsia="Segoe UI"/>
          <w:b w:val="1"/>
          <w:bCs w:val="1"/>
          <w:color w:val="003366"/>
          <w:sz w:val="21"/>
          <w:szCs w:val="21"/>
          <w:u w:val="single" w:color="003366"/>
          <w:rtl w:val="0"/>
          <w:lang w:val="ru-RU"/>
        </w:rPr>
        <w:t>Основные настройки платежного модуля</w:t>
      </w:r>
      <w:r>
        <w:rPr>
          <w:rFonts w:ascii="Segoe UI" w:cs="Segoe UI" w:hAnsi="Segoe UI" w:eastAsia="Segoe UI"/>
          <w:b w:val="1"/>
          <w:bCs w:val="1"/>
          <w:color w:val="003366"/>
          <w:sz w:val="21"/>
          <w:szCs w:val="21"/>
          <w:u w:val="single" w:color="003366"/>
          <w:rtl w:val="0"/>
          <w:lang w:val="ru-RU"/>
        </w:rPr>
        <w:t>:</w:t>
      </w:r>
    </w:p>
    <w:p>
      <w:pPr>
        <w:pStyle w:val="Normal.0"/>
        <w:numPr>
          <w:ilvl w:val="0"/>
          <w:numId w:val="5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Логин мерчанта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0"/>
          <w:numId w:val="5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Пароль мерчанта</w:t>
      </w: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0"/>
          <w:numId w:val="5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Стадийность платежа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проведение одностадийных или двухстадийных платежей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0"/>
          <w:numId w:val="5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Указать страницу на которую будет отправлен пользователь после успешной оплаты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0"/>
          <w:numId w:val="5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Указать страницу на которую будет отправлен пользователь в случае ошибки оплаты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  <w:numPr>
          <w:ilvl w:val="0"/>
          <w:numId w:val="5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Тестовый режим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использование тестового или боевого платежных шлюзов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</w:p>
    <w:p>
      <w:pPr>
        <w:pStyle w:val="Normal.0"/>
      </w:pPr>
    </w:p>
    <w:p>
      <w:pPr>
        <w:pStyle w:val="Normal.0"/>
        <w:numPr>
          <w:ilvl w:val="0"/>
          <w:numId w:val="7"/>
        </w:numPr>
        <w:shd w:val="clear" w:color="auto" w:fill="ffffff"/>
        <w:bidi w:val="0"/>
        <w:spacing w:before="100" w:after="24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003366"/>
          <w:sz w:val="21"/>
          <w:szCs w:val="21"/>
          <w:u w:val="single" w:color="003366"/>
          <w:rtl w:val="0"/>
          <w:lang w:val="ru-RU"/>
        </w:rPr>
        <w:t xml:space="preserve">Настройки передачи товарной корзины </w:t>
      </w:r>
      <w:r>
        <w:rPr>
          <w:rFonts w:ascii="Segoe UI" w:cs="Segoe UI" w:hAnsi="Segoe UI" w:eastAsia="Segoe UI"/>
          <w:b w:val="1"/>
          <w:bCs w:val="1"/>
          <w:color w:val="003366"/>
          <w:sz w:val="21"/>
          <w:szCs w:val="21"/>
          <w:u w:val="single" w:color="003366"/>
          <w:rtl w:val="0"/>
          <w:lang w:val="ru-RU"/>
        </w:rPr>
        <w:t>(</w:t>
      </w:r>
      <w:r>
        <w:rPr>
          <w:rFonts w:ascii="Segoe UI" w:cs="Segoe UI" w:hAnsi="Segoe UI" w:eastAsia="Segoe UI"/>
          <w:b w:val="1"/>
          <w:bCs w:val="1"/>
          <w:color w:val="003366"/>
          <w:sz w:val="21"/>
          <w:szCs w:val="21"/>
          <w:u w:val="single" w:color="003366"/>
          <w:rtl w:val="0"/>
          <w:lang w:val="ru-RU"/>
        </w:rPr>
        <w:t>ФЗ</w:t>
      </w:r>
      <w:r>
        <w:rPr>
          <w:rFonts w:ascii="Segoe UI" w:cs="Segoe UI" w:hAnsi="Segoe UI" w:eastAsia="Segoe UI"/>
          <w:b w:val="1"/>
          <w:bCs w:val="1"/>
          <w:color w:val="003366"/>
          <w:sz w:val="21"/>
          <w:szCs w:val="21"/>
          <w:u w:val="single" w:color="003366"/>
          <w:rtl w:val="0"/>
          <w:lang w:val="ru-RU"/>
        </w:rPr>
        <w:t>-54):</w:t>
      </w:r>
    </w:p>
    <w:p>
      <w:pPr>
        <w:pStyle w:val="Normal.0"/>
        <w:numPr>
          <w:ilvl w:val="0"/>
          <w:numId w:val="7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Передача товарной корзины</w:t>
      </w:r>
    </w:p>
    <w:p>
      <w:pPr>
        <w:pStyle w:val="Normal.0"/>
        <w:numPr>
          <w:ilvl w:val="0"/>
          <w:numId w:val="9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Система налогооблажения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доступны следующие значения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:</w:t>
      </w:r>
    </w:p>
    <w:p>
      <w:pPr>
        <w:pStyle w:val="Normal.0"/>
        <w:shd w:val="clear" w:color="auto" w:fill="ffffff"/>
        <w:spacing w:before="150" w:after="24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0 -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общая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1 -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упрощённая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доход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2 -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упрощённая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доход минус расход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3 -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единый налог на вменённый доход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4 -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единый сельскохозяйственный налог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5 -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патентная система налогообложения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.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</w:p>
    <w:p>
      <w:pPr>
        <w:pStyle w:val="Normal.0"/>
        <w:numPr>
          <w:ilvl w:val="0"/>
          <w:numId w:val="9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color w:val="172b4d"/>
          <w:sz w:val="21"/>
          <w:szCs w:val="21"/>
          <w:u w:color="172b4d"/>
          <w:rtl w:val="0"/>
          <w:lang w:val="ru-RU"/>
        </w:rPr>
        <w:t>Ставка НДС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-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доступны следующие значения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:</w: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0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– без НДС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1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по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0%;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2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10%;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3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18%;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4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расчетной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10/110;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5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расчетной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18/118;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6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расчетной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20%;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7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– НДС чека по расчетной ставке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20/120</w:t>
      </w:r>
    </w:p>
    <w:p>
      <w:pPr>
        <w:pStyle w:val="Normal.0"/>
        <w:shd w:val="clear" w:color="auto" w:fill="ffffff"/>
        <w:spacing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b w:val="1"/>
          <w:bCs w:val="1"/>
          <w:i w:val="1"/>
          <w:iCs w:val="1"/>
          <w:color w:val="ff0000"/>
          <w:sz w:val="21"/>
          <w:szCs w:val="21"/>
          <w:u w:color="ff0000"/>
        </w:rPr>
        <w:br w:type="textWrapping"/>
      </w:r>
    </w:p>
    <w:p>
      <w:pPr>
        <w:pStyle w:val="Normal.0"/>
        <w:numPr>
          <w:ilvl w:val="0"/>
          <w:numId w:val="9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i w:val="1"/>
          <w:iCs w:val="1"/>
          <w:color w:val="545454"/>
          <w:sz w:val="21"/>
          <w:szCs w:val="21"/>
          <w:u w:color="545454"/>
          <w:rtl w:val="0"/>
          <w:lang w:val="ru-RU"/>
        </w:rPr>
        <w:t>Тип оплаты </w:t>
      </w:r>
      <w:r>
        <w:rPr>
          <w:rFonts w:ascii="Segoe UI" w:cs="Segoe UI" w:hAnsi="Segoe UI" w:eastAsia="Segoe UI"/>
          <w:b w:val="1"/>
          <w:bCs w:val="1"/>
          <w:i w:val="1"/>
          <w:iCs w:val="1"/>
          <w:color w:val="ff0000"/>
          <w:sz w:val="21"/>
          <w:szCs w:val="21"/>
          <w:u w:color="ff0000"/>
          <w:rtl w:val="0"/>
          <w:lang w:val="ru-RU"/>
        </w:rPr>
        <w:t> </w:t>
      </w:r>
    </w:p>
    <w:p>
      <w:pPr>
        <w:pStyle w:val="Normal.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spacing w:before="150" w:after="0" w:line="240" w:lineRule="auto"/>
        <w:rPr>
          <w:rFonts w:ascii="Courier New" w:cs="Courier New" w:hAnsi="Courier New" w:eastAsia="Courier New"/>
          <w:color w:val="172b4d"/>
          <w:sz w:val="20"/>
          <w:szCs w:val="20"/>
          <w:u w:color="172b4d"/>
        </w:rPr>
      </w:pP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1 -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полная предварительная оплата до момента передачи предмета расчёта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2 -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частичная предварительная оплата до момента передачи предмета расчёта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3 -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аванс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4 -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полная оплата в момент передачи предмета расчёта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5 -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частичная оплата предмета расчёта в момент его передачи с последующей оплатой в кредит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6 -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передача предмета расчёта без его оплаты в момент его передачи с последующей оплатой в кредит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7 -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оплата предмета расчёта после его передачи с оплатой в кредит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.</w:t>
      </w:r>
    </w:p>
    <w:p>
      <w:pPr>
        <w:pStyle w:val="Normal.0"/>
        <w:shd w:val="clear" w:color="auto" w:fill="ffffff"/>
        <w:spacing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b w:val="1"/>
          <w:bCs w:val="1"/>
          <w:i w:val="1"/>
          <w:iCs w:val="1"/>
          <w:color w:val="ff0000"/>
          <w:sz w:val="21"/>
          <w:szCs w:val="21"/>
          <w:u w:color="ff0000"/>
        </w:rPr>
        <w:br w:type="textWrapping"/>
      </w:r>
    </w:p>
    <w:p>
      <w:pPr>
        <w:pStyle w:val="Normal.0"/>
        <w:numPr>
          <w:ilvl w:val="0"/>
          <w:numId w:val="9"/>
        </w:numPr>
        <w:shd w:val="clear" w:color="auto" w:fill="ffffff"/>
        <w:bidi w:val="0"/>
        <w:spacing w:before="100" w:after="100" w:line="240" w:lineRule="auto"/>
        <w:ind w:right="0"/>
        <w:jc w:val="left"/>
        <w:rPr>
          <w:rFonts w:ascii="Segoe UI" w:cs="Segoe UI" w:hAnsi="Segoe UI" w:eastAsia="Segoe UI"/>
          <w:color w:val="172b4d"/>
          <w:sz w:val="21"/>
          <w:szCs w:val="21"/>
          <w:rtl w:val="0"/>
          <w:lang w:val="ru-RU"/>
        </w:rPr>
      </w:pPr>
      <w:r>
        <w:rPr>
          <w:rFonts w:ascii="Segoe UI" w:cs="Segoe UI" w:hAnsi="Segoe UI" w:eastAsia="Segoe UI"/>
          <w:b w:val="1"/>
          <w:bCs w:val="1"/>
          <w:i w:val="1"/>
          <w:iCs w:val="1"/>
          <w:color w:val="545454"/>
          <w:sz w:val="21"/>
          <w:szCs w:val="21"/>
          <w:u w:color="545454"/>
          <w:rtl w:val="0"/>
          <w:lang w:val="ru-RU"/>
        </w:rPr>
        <w:t>Тип оплачиваемой позиции </w:t>
      </w:r>
      <w:r>
        <w:rPr>
          <w:rFonts w:ascii="Segoe UI" w:cs="Segoe UI" w:hAnsi="Segoe UI" w:eastAsia="Segoe UI"/>
          <w:b w:val="1"/>
          <w:bCs w:val="1"/>
          <w:i w:val="1"/>
          <w:iCs w:val="1"/>
          <w:color w:val="ff0000"/>
          <w:sz w:val="21"/>
          <w:szCs w:val="21"/>
          <w:u w:color="ff0000"/>
          <w:rtl w:val="0"/>
          <w:lang w:val="ru-RU"/>
        </w:rPr>
        <w:t> </w:t>
      </w:r>
    </w:p>
    <w:p>
      <w:pPr>
        <w:pStyle w:val="Normal.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spacing w:before="150" w:after="0" w:line="240" w:lineRule="auto"/>
        <w:rPr>
          <w:rFonts w:ascii="Courier New" w:cs="Courier New" w:hAnsi="Courier New" w:eastAsia="Courier New"/>
          <w:color w:val="172b4d"/>
          <w:sz w:val="20"/>
          <w:szCs w:val="20"/>
          <w:u w:color="172b4d"/>
        </w:rPr>
      </w:pP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1 -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товар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2 -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подакцизный товар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3 -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работа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4 -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услуга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5 -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ставка азартной игры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6 -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выигрыш азартной игры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7 -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лотерейный билет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8 -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выигрыш лотереи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9 -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предоставление РИД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10 -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платёж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11 -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агентское вознаграждение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12 -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составной предмет расчёта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;</w:t>
      </w:r>
      <w:r>
        <w:rPr>
          <w:rFonts w:ascii="Courier New" w:cs="Courier New" w:hAnsi="Courier New" w:eastAsia="Courier New"/>
          <w:color w:val="808080"/>
          <w:sz w:val="20"/>
          <w:szCs w:val="20"/>
          <w:u w:color="808080"/>
        </w:rPr>
        <w:br w:type="textWrapping"/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 xml:space="preserve">13 - </w:t>
      </w:r>
      <w:r>
        <w:rPr>
          <w:rFonts w:ascii="Courier New" w:hAnsi="Courier New" w:hint="default"/>
          <w:color w:val="808080"/>
          <w:sz w:val="20"/>
          <w:szCs w:val="20"/>
          <w:u w:color="808080"/>
          <w:rtl w:val="0"/>
          <w:lang w:val="ru-RU"/>
        </w:rPr>
        <w:t>иной предмет расчёта</w:t>
      </w:r>
      <w:r>
        <w:rPr>
          <w:rFonts w:ascii="Courier New" w:hAnsi="Courier New"/>
          <w:color w:val="808080"/>
          <w:sz w:val="20"/>
          <w:szCs w:val="20"/>
          <w:u w:color="808080"/>
          <w:rtl w:val="0"/>
          <w:lang w:val="ru-RU"/>
        </w:rPr>
        <w:t>.</w:t>
      </w:r>
    </w:p>
    <w:p>
      <w:pPr>
        <w:pStyle w:val="Normal.0"/>
      </w:pPr>
      <w:r/>
    </w:p>
    <w:sectPr>
      <w:headerReference w:type="default" r:id="rId4"/>
      <w:footerReference w:type="default" r:id="rId5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Segoe UI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tabs>
          <w:tab w:val="left" w:pos="72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tabs>
          <w:tab w:val="left" w:pos="72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720"/>
        </w:tabs>
        <w:ind w:left="14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·"/>
      <w:lvlJc w:val="left"/>
      <w:pPr>
        <w:tabs>
          <w:tab w:val="left" w:pos="72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720"/>
        </w:tabs>
        <w:ind w:left="14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bullet"/>
      <w:suff w:val="tab"/>
      <w:lvlText w:val="·"/>
      <w:lvlJc w:val="left"/>
      <w:pPr>
        <w:tabs>
          <w:tab w:val="left" w:pos="72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720"/>
        </w:tabs>
        <w:ind w:left="14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">
    <w:name w:val="Колонтитул"/>
    <w:next w:val="Колонтитул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4"/>
      </w:numPr>
    </w:pPr>
  </w:style>
  <w:style w:type="numbering" w:styleId="Импортированный стиль 3">
    <w:name w:val="Импортированный стиль 3"/>
    <w:pPr>
      <w:numPr>
        <w:numId w:val="6"/>
      </w:numPr>
    </w:pPr>
  </w:style>
  <w:style w:type="numbering" w:styleId="Импортированный стиль 4">
    <w:name w:val="Импортированный стиль 4"/>
    <w:pPr>
      <w:numPr>
        <w:numId w:val="8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