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heading 1"/>
        <w:spacing w:before="0" w:after="245"/>
      </w:pPr>
      <w:r>
        <w:rPr>
          <w:rtl w:val="0"/>
          <w:lang w:val="en-US"/>
        </w:rPr>
        <w:t>OpenCart/ocStore 2.1</w:t>
      </w:r>
      <w:r>
        <w:rPr>
          <w:rtl w:val="0"/>
          <w:lang w:val="en-US"/>
        </w:rPr>
        <w:t>х</w:t>
      </w:r>
    </w:p>
    <w:p>
      <w:pPr>
        <w:pStyle w:val="Normal.0"/>
      </w:pPr>
      <w:bookmarkStart w:name="scrollbookmark1" w:id="0"/>
      <w:bookmarkEnd w:id="0"/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"scrollbookmark2"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Общие сведения</w:t>
      </w:r>
      <w:r>
        <w:rPr/>
        <w:fldChar w:fldCharType="end" w:fldLock="0"/>
      </w:r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"scrollbookmark3"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Совместимость</w:t>
      </w:r>
      <w:r>
        <w:rPr/>
        <w:fldChar w:fldCharType="end" w:fldLock="0"/>
      </w:r>
    </w:p>
    <w:p>
      <w:pPr>
        <w:pStyle w:val="Normal.0"/>
        <w:numPr>
          <w:ilvl w:val="0"/>
          <w:numId w:val="2"/>
        </w:num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\l "scrollbookmark5" 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Настройка плагина</w:t>
      </w:r>
      <w:r>
        <w:rPr/>
        <w:fldChar w:fldCharType="end" w:fldLock="0"/>
      </w:r>
    </w:p>
    <w:p>
      <w:pPr>
        <w:pStyle w:val="heading 1"/>
      </w:pPr>
      <w:bookmarkStart w:name="scrollbookmark2" w:id="1"/>
      <w:r>
        <w:rPr>
          <w:rtl w:val="0"/>
        </w:rPr>
        <w:t>Общие сведения</w:t>
      </w:r>
      <w:bookmarkEnd w:id="1"/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актуальная версия платежного обработчика </w:t>
      </w:r>
      <w:r>
        <w:rPr>
          <w:b w:val="1"/>
          <w:bCs w:val="1"/>
          <w:color w:val="0000ff"/>
          <w:u w:color="0000ff"/>
          <w:rtl w:val="0"/>
          <w:lang w:val="en-US"/>
        </w:rPr>
        <w:t>2.2.0</w:t>
      </w:r>
    </w:p>
    <w:p>
      <w:pPr>
        <w:pStyle w:val="heading 1"/>
      </w:pPr>
      <w:bookmarkStart w:name="scrollbookmark3" w:id="2"/>
      <w:r>
        <w:rPr>
          <w:rtl w:val="0"/>
        </w:rPr>
        <w:t>Совместимость</w:t>
      </w:r>
      <w:bookmarkEnd w:id="2"/>
    </w:p>
    <w:p>
      <w:pPr>
        <w:pStyle w:val="Normal.0"/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4pt;margin-top:-0.4pt;width:423.9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ru-RU"/>
        </w:rPr>
        <w:t xml:space="preserve">Плагин совместим с </w:t>
      </w:r>
      <w:r>
        <w:rPr>
          <w:b w:val="1"/>
          <w:bCs w:val="1"/>
          <w:rtl w:val="0"/>
          <w:lang w:val="en-US"/>
        </w:rPr>
        <w:t>ocStore</w:t>
      </w:r>
      <w:r>
        <w:rPr>
          <w:b w:val="1"/>
          <w:bCs w:val="1"/>
          <w:rtl w:val="0"/>
          <w:lang w:val="ru-RU"/>
        </w:rPr>
        <w:t xml:space="preserve"> </w:t>
      </w:r>
      <w:r>
        <w:rPr>
          <w:b w:val="1"/>
          <w:bCs w:val="1"/>
          <w:rtl w:val="0"/>
          <w:lang w:val="en-US"/>
        </w:rPr>
        <w:t>v</w:t>
      </w:r>
      <w:r>
        <w:rPr>
          <w:b w:val="1"/>
          <w:bCs w:val="1"/>
          <w:rtl w:val="0"/>
          <w:lang w:val="ru-RU"/>
        </w:rPr>
        <w:t>2.1</w:t>
      </w:r>
      <w:r>
        <w:rPr>
          <w:rtl w:val="0"/>
          <w:lang w:val="ru-RU"/>
        </w:rPr>
        <w:t>.</w:t>
      </w:r>
    </w:p>
    <w:p>
      <w:pPr>
        <w:pStyle w:val="heading 1"/>
      </w:pPr>
      <w:bookmarkStart w:name="scrollbookmark5" w:id="3"/>
      <w:r>
        <w:rPr>
          <w:rtl w:val="0"/>
        </w:rPr>
        <w:t>Настройка плагина</w:t>
      </w:r>
      <w:bookmarkEnd w:id="3"/>
    </w:p>
    <w:p>
      <w:pPr>
        <w:pStyle w:val="Normal.0"/>
        <w:numPr>
          <w:ilvl w:val="0"/>
          <w:numId w:val="6"/>
        </w:numPr>
      </w:pPr>
      <w:r>
        <w:rPr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4762</wp:posOffset>
                </wp:positionH>
                <wp:positionV relativeFrom="line">
                  <wp:posOffset>-4762</wp:posOffset>
                </wp:positionV>
                <wp:extent cx="5382896" cy="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80808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0.4pt;margin-top:-0.4pt;width:423.9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0808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tl w:val="0"/>
          <w:lang w:val="ru-RU"/>
        </w:rPr>
        <w:t xml:space="preserve">На той же странице перейти на страницу редактирования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кнопка в виде карандаша</w:t>
      </w:r>
      <w:r>
        <w:rPr>
          <w:rtl w:val="0"/>
          <w:lang w:val="ru-RU"/>
        </w:rPr>
        <w:t>);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Заполнить поля</w:t>
      </w:r>
      <w:r>
        <w:rPr>
          <w:rtl w:val="0"/>
          <w:lang w:val="en-US"/>
        </w:rPr>
        <w:t>: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Статус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включить или выключить способ оплаты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показывать ли на странице оформления заказа</w:t>
      </w:r>
      <w:r>
        <w:rPr>
          <w:rtl w:val="0"/>
          <w:lang w:val="ru-RU"/>
        </w:rPr>
        <w:t>);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Логин продавца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логин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Пароль продавца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пароль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Режим работы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при тестовом режиме модуль взаимодействует с </w:t>
      </w:r>
      <w:r>
        <w:rPr>
          <w:rtl w:val="0"/>
          <w:lang w:val="en-US"/>
        </w:rPr>
        <w:t>UAT</w:t>
      </w:r>
      <w:r>
        <w:rPr>
          <w:rtl w:val="0"/>
          <w:lang w:val="ru-RU"/>
        </w:rPr>
        <w:t xml:space="preserve"> платежном шлюзе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при боевом 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с </w:t>
      </w:r>
      <w:r>
        <w:rPr>
          <w:rtl w:val="0"/>
          <w:lang w:val="en-US"/>
        </w:rPr>
        <w:t>PROD</w:t>
      </w:r>
      <w:r>
        <w:rPr>
          <w:rtl w:val="0"/>
          <w:lang w:val="ru-RU"/>
        </w:rPr>
        <w:t>;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Стадийность платежа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одностадийные или двухстадийные платежи</w:t>
      </w:r>
      <w:r>
        <w:rPr>
          <w:rtl w:val="0"/>
          <w:lang w:val="ru-RU"/>
        </w:rPr>
        <w:t>;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color w:val="545454"/>
          <w:u w:color="545454"/>
          <w:rtl w:val="0"/>
          <w:lang w:val="ru-RU"/>
        </w:rPr>
        <w:t>Настройки передачи данных в ОФД</w:t>
      </w:r>
      <w:r>
        <w:rPr>
          <w:b w:val="1"/>
          <w:bCs w:val="1"/>
          <w:rtl w:val="0"/>
          <w:lang w:val="en-US"/>
        </w:rPr>
        <w:t> </w:t>
      </w:r>
      <w:r>
        <w:rPr>
          <w:b w:val="1"/>
          <w:bCs w:val="1"/>
          <w:lang w:val="ru-RU"/>
        </w:rPr>
        <w:br w:type="textWrapping"/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Система налогооблажения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доступны следующие значения</w:t>
      </w:r>
      <w:r>
        <w:rPr>
          <w:rtl w:val="0"/>
          <w:lang w:val="ru-RU"/>
        </w:rPr>
        <w:t>:</w:t>
      </w:r>
    </w:p>
    <w:p>
      <w:pPr>
        <w:pStyle w:val="Normal.0"/>
        <w:ind w:left="1080" w:firstLine="0"/>
      </w:pPr>
      <w:r>
        <w:rPr>
          <w:rtl w:val="0"/>
          <w:lang w:val="ru-RU"/>
        </w:rPr>
        <w:t xml:space="preserve">0 - </w:t>
      </w:r>
      <w:r>
        <w:rPr>
          <w:rtl w:val="0"/>
          <w:lang w:val="ru-RU"/>
        </w:rPr>
        <w:t>общая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1 -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2 -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 минус расход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3 - </w:t>
      </w:r>
      <w:r>
        <w:rPr>
          <w:rtl w:val="0"/>
          <w:lang w:val="ru-RU"/>
        </w:rPr>
        <w:t>единый налог на вменённый 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4 - </w:t>
      </w:r>
      <w:r>
        <w:rPr>
          <w:rtl w:val="0"/>
          <w:lang w:val="ru-RU"/>
        </w:rPr>
        <w:t>единый сельскохозяйственный налог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5 - </w:t>
      </w:r>
      <w:r>
        <w:rPr>
          <w:rtl w:val="0"/>
          <w:lang w:val="ru-RU"/>
        </w:rPr>
        <w:t>патентная система налогообложения</w:t>
      </w:r>
      <w:r>
        <w:rPr>
          <w:rtl w:val="0"/>
          <w:lang w:val="ru-RU"/>
        </w:rPr>
        <w:t>.</w:t>
      </w:r>
      <w:r>
        <w:rPr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lang w:val="ru-RU"/>
        </w:rPr>
        <w:br w:type="textWrapping"/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Ставка НДС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доступны следующие значения</w:t>
      </w:r>
      <w:r>
        <w:rPr>
          <w:rtl w:val="0"/>
          <w:lang w:val="ru-RU"/>
        </w:rPr>
        <w:t>:</w:t>
      </w:r>
    </w:p>
    <w:p>
      <w:pPr>
        <w:pStyle w:val="Normal.0"/>
        <w:ind w:left="1080" w:firstLine="0"/>
      </w:pPr>
      <w:r>
        <w:rPr>
          <w:rtl w:val="0"/>
          <w:lang w:val="ru-RU"/>
        </w:rPr>
        <w:t xml:space="preserve">0 </w:t>
      </w:r>
      <w:r>
        <w:rPr>
          <w:rtl w:val="0"/>
          <w:lang w:val="ru-RU"/>
        </w:rPr>
        <w:t>– без НДС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 xml:space="preserve">– НДС по ставке </w:t>
      </w:r>
      <w:r>
        <w:rPr>
          <w:rtl w:val="0"/>
          <w:lang w:val="ru-RU"/>
        </w:rPr>
        <w:t>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 xml:space="preserve">– НДС чека по ставке </w:t>
      </w:r>
      <w:r>
        <w:rPr>
          <w:rtl w:val="0"/>
          <w:lang w:val="ru-RU"/>
        </w:rPr>
        <w:t>10%;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3 </w:t>
      </w:r>
      <w:r>
        <w:rPr>
          <w:rtl w:val="0"/>
          <w:lang w:val="ru-RU"/>
        </w:rPr>
        <w:t xml:space="preserve">– НДС чека по ставке </w:t>
      </w:r>
      <w:r>
        <w:rPr>
          <w:rtl w:val="0"/>
          <w:lang w:val="ru-RU"/>
        </w:rPr>
        <w:t>18%;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10/110;</w:t>
      </w:r>
      <w:r>
        <w:rPr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5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18/118;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6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20%;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7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20/120</w:t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color w:val="545454"/>
          <w:u w:color="545454"/>
          <w:rtl w:val="0"/>
          <w:lang w:val="ru-RU"/>
        </w:rPr>
        <w:t>Формат фискальных документов</w:t>
      </w:r>
      <w:r>
        <w:rPr>
          <w:b w:val="1"/>
          <w:bCs w:val="1"/>
          <w:color w:val="545454"/>
          <w:u w:color="545454"/>
          <w:rtl w:val="0"/>
          <w:lang w:val="en-US"/>
        </w:rPr>
        <w:t> 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>ВАЖНО</w:t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! </w:t>
      </w:r>
      <w:r>
        <w:rPr>
          <w:i w:val="1"/>
          <w:iCs w:val="1"/>
          <w:color w:val="ff0000"/>
          <w:u w:color="ff0000"/>
          <w:rtl w:val="0"/>
          <w:lang w:val="ru-RU"/>
        </w:rPr>
        <w:t>Формат версии требуется указать в личном кабинете банка и в кабинете сервиса фискализации</w:t>
      </w:r>
      <w:r>
        <w:rPr>
          <w:i w:val="1"/>
          <w:iCs w:val="1"/>
          <w:color w:val="ff0000"/>
          <w:u w:color="ff0000"/>
          <w:rtl w:val="0"/>
          <w:lang w:val="ru-RU"/>
        </w:rPr>
        <w:t>.</w:t>
      </w:r>
      <w:r>
        <w:rPr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i w:val="1"/>
          <w:iCs w:val="1"/>
          <w:color w:val="545454"/>
          <w:u w:color="545454"/>
          <w:rtl w:val="0"/>
          <w:lang w:val="ru-RU"/>
        </w:rPr>
        <w:t>Тип оплаты</w:t>
      </w:r>
      <w:r>
        <w:rPr>
          <w:b w:val="1"/>
          <w:bCs w:val="1"/>
          <w:i w:val="1"/>
          <w:iCs w:val="1"/>
          <w:color w:val="545454"/>
          <w:u w:color="545454"/>
          <w:rtl w:val="0"/>
          <w:lang w:val="en-US"/>
        </w:rPr>
        <w:t> </w:t>
      </w:r>
      <w:r>
        <w:rPr>
          <w:b w:val="1"/>
          <w:bCs w:val="1"/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i w:val="1"/>
          <w:iCs w:val="1"/>
          <w:color w:val="545454"/>
          <w:u w:color="545454"/>
          <w:rtl w:val="0"/>
          <w:lang w:val="ru-RU"/>
        </w:rPr>
        <w:t>Тип оплачиваемой позиции</w:t>
      </w:r>
      <w:r>
        <w:rPr>
          <w:b w:val="1"/>
          <w:bCs w:val="1"/>
          <w:i w:val="1"/>
          <w:iCs w:val="1"/>
          <w:color w:val="545454"/>
          <w:u w:color="545454"/>
          <w:rtl w:val="0"/>
          <w:lang w:val="en-US"/>
        </w:rPr>
        <w:t> </w:t>
      </w:r>
      <w:r>
        <w:rPr>
          <w:b w:val="1"/>
          <w:bCs w:val="1"/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1"/>
          <w:numId w:val="8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Логирование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файл лога находится в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/</w:t>
      </w:r>
      <w:r>
        <w:rPr>
          <w:b w:val="1"/>
          <w:bCs w:val="1"/>
          <w:rtl w:val="0"/>
          <w:lang w:val="en-US"/>
        </w:rPr>
        <w:t>system</w:t>
      </w:r>
      <w:r>
        <w:rPr>
          <w:b w:val="1"/>
          <w:bCs w:val="1"/>
          <w:rtl w:val="0"/>
          <w:lang w:val="ru-RU"/>
        </w:rPr>
        <w:t>/</w:t>
      </w:r>
      <w:r>
        <w:rPr>
          <w:b w:val="1"/>
          <w:bCs w:val="1"/>
          <w:rtl w:val="0"/>
          <w:lang w:val="en-US"/>
        </w:rPr>
        <w:t>storage</w:t>
      </w:r>
      <w:r>
        <w:rPr>
          <w:b w:val="1"/>
          <w:bCs w:val="1"/>
          <w:rtl w:val="0"/>
          <w:lang w:val="ru-RU"/>
        </w:rPr>
        <w:t>/</w:t>
      </w:r>
      <w:r>
        <w:rPr>
          <w:b w:val="1"/>
          <w:bCs w:val="1"/>
          <w:rtl w:val="0"/>
          <w:lang w:val="en-US"/>
        </w:rPr>
        <w:t>logs</w:t>
      </w:r>
      <w:r>
        <w:rPr>
          <w:b w:val="1"/>
          <w:bCs w:val="1"/>
          <w:rtl w:val="0"/>
          <w:lang w:val="ru-RU"/>
        </w:rPr>
        <w:t>/</w:t>
      </w:r>
      <w:r>
        <w:rPr>
          <w:b w:val="1"/>
          <w:bCs w:val="1"/>
          <w:rtl w:val="0"/>
          <w:lang w:val="en-US"/>
        </w:rPr>
        <w:t>alfa</w:t>
      </w:r>
      <w:r>
        <w:rPr>
          <w:b w:val="1"/>
          <w:bCs w:val="1"/>
          <w:rtl w:val="0"/>
          <w:lang w:val="ru-RU"/>
        </w:rPr>
        <w:t>.</w:t>
      </w:r>
      <w:r>
        <w:rPr>
          <w:b w:val="1"/>
          <w:bCs w:val="1"/>
          <w:rtl w:val="0"/>
          <w:lang w:val="en-US"/>
        </w:rPr>
        <w:t>log</w:t>
      </w:r>
      <w:r>
        <w:rPr>
          <w:rtl w:val="0"/>
          <w:lang w:val="ru-RU"/>
        </w:rPr>
        <w:t>;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b w:val="1"/>
          <w:bCs w:val="1"/>
          <w:rtl w:val="0"/>
          <w:lang w:val="en-US"/>
        </w:rPr>
        <w:t>Валюта</w:t>
      </w:r>
      <w:r>
        <w:rPr>
          <w:rtl w:val="0"/>
          <w:lang w:val="en-US"/>
        </w:rPr>
        <w:t>;</w:t>
      </w:r>
    </w:p>
    <w:p>
      <w:pPr>
        <w:pStyle w:val="Normal.0"/>
        <w:ind w:left="1080" w:firstLine="0"/>
      </w:pPr>
      <w:r>
        <w:drawing>
          <wp:inline distT="0" distB="0" distL="0" distR="0">
            <wp:extent cx="4709796" cy="4877097"/>
            <wp:effectExtent l="0" t="0" r="0" b="0"/>
            <wp:docPr id="1073741827" name="officeArt object" descr="_scroll_external/attachments/screenshot-2018-12-29-at-12-16-45-f880065f2c74bea5307543e08b26c688f271c9f6763df7a0b3e1f4b939085d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_scroll_external/attachments/screenshot-2018-12-29-at-12-16-45-f880065f2c74bea5307543e08b26c688f271c9f6763df7a0b3e1f4b939085d86.png" descr="_scroll_external/attachments/screenshot-2018-12-29-at-12-16-45-f880065f2c74bea5307543e08b26c688f271c9f6763df7a0b3e1f4b939085d86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796" cy="48770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ind w:left="1080" w:firstLine="0"/>
      </w:pPr>
    </w:p>
    <w:p>
      <w:pPr>
        <w:pStyle w:val="Normal.0"/>
        <w:numPr>
          <w:ilvl w:val="0"/>
          <w:numId w:val="9"/>
        </w:numPr>
        <w:rPr>
          <w:lang w:val="en-US"/>
        </w:rPr>
      </w:pPr>
      <w:r>
        <w:rPr>
          <w:rtl w:val="0"/>
          <w:lang w:val="en-US"/>
        </w:rPr>
        <w:t>Сохранить настройки способа оплаты</w:t>
      </w:r>
      <w:r>
        <w:rPr>
          <w:rtl w:val="0"/>
          <w:lang w:val="en-US"/>
        </w:rPr>
        <w:t>.</w:t>
      </w:r>
    </w:p>
    <w:sectPr>
      <w:headerReference w:type="default" r:id="rId5"/>
      <w:footerReference w:type="default" r:id="rId6"/>
      <w:pgSz w:w="11900" w:h="16840" w:orient="portrait"/>
      <w:pgMar w:top="1440" w:right="1701" w:bottom="1440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jc w:val="right"/>
    </w:pPr>
    <w:r>
      <w:rPr>
        <w:sz w:val="18"/>
        <w:szCs w:val="18"/>
        <w:rtl w:val="0"/>
        <w:lang w:val="en-US"/>
      </w:rPr>
      <w:t xml:space="preserve">Alfabank </w:t>
    </w:r>
    <w:r>
      <w:rPr>
        <w:sz w:val="18"/>
        <w:szCs w:val="18"/>
        <w:rtl w:val="0"/>
        <w:lang w:val="en-US"/>
      </w:rPr>
      <w:t xml:space="preserve">– </w:t>
    </w:r>
    <w:r>
      <w:rPr>
        <w:sz w:val="18"/>
        <w:szCs w:val="18"/>
        <w:rtl w:val="0"/>
        <w:lang w:val="en-US"/>
      </w:rPr>
      <w:t>OpenCart/ocStore 2.1</w:t>
    </w:r>
    <w:r>
      <w:rPr>
        <w:sz w:val="18"/>
        <w:szCs w:val="18"/>
        <w:rtl w:val="0"/>
        <w:lang w:val="en-US"/>
      </w:rPr>
      <w:t>х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180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39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61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tabs>
          <w:tab w:val="left" w:pos="108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080"/>
        </w:tabs>
        <w:ind w:left="18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080"/>
        </w:tabs>
        <w:ind w:left="25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0"/>
        </w:tabs>
        <w:ind w:left="32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0"/>
        </w:tabs>
        <w:ind w:left="39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080"/>
        </w:tabs>
        <w:ind w:left="46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0"/>
        </w:tabs>
        <w:ind w:left="54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0"/>
        </w:tabs>
        <w:ind w:left="61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84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righ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tabs>
        <w:tab w:val="left" w:pos="567"/>
      </w:tabs>
      <w:suppressAutoHyphens w:val="0"/>
      <w:bidi w:val="0"/>
      <w:spacing w:before="600" w:after="24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04040"/>
      <w:spacing w:val="0"/>
      <w:kern w:val="32"/>
      <w:position w:val="0"/>
      <w:sz w:val="32"/>
      <w:szCs w:val="32"/>
      <w:u w:val="none" w:color="40404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