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shd w:val="clear" w:color="auto" w:fill="ffffff"/>
        <w:spacing w:before="450" w:after="0" w:line="240" w:lineRule="auto"/>
        <w:outlineLvl w:val="0"/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</w:rPr>
      </w:pPr>
      <w:r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  <w:rtl w:val="0"/>
          <w:lang w:val="ru-RU"/>
        </w:rPr>
        <w:t>Установка плагина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mc:AlternateContent>
          <mc:Choice Requires="wps">
            <w:drawing>
              <wp:inline distT="0" distB="0" distL="0" distR="0">
                <wp:extent cx="5943600" cy="19050"/>
                <wp:effectExtent l="0" t="0" r="0" 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050"/>
                        </a:xfrm>
                        <a:prstGeom prst="rect">
                          <a:avLst/>
                        </a:prstGeom>
                        <a:solidFill>
                          <a:srgbClr val="172B4D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6" style="visibility:visible;width:468.0pt;height:1.5pt;">
                <v:fill color="#172B4D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1.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Скопировать файлы из директории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upload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в директорию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где установлена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CMS</w: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2.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В административной панеди перейти в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"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Боковое меню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" -&gt; "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Дополнения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" -&gt; "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Платежи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";</w:t>
      </w:r>
    </w:p>
    <w:p>
      <w:pPr>
        <w:pStyle w:val="Normal.0"/>
      </w:pPr>
      <w:r>
        <w:drawing>
          <wp:inline distT="0" distB="0" distL="0" distR="0">
            <wp:extent cx="5936615" cy="3886881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38868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shd w:val="clear" w:color="auto" w:fill="ffffff"/>
          <w:rtl w:val="0"/>
          <w:lang w:val="ru-RU"/>
        </w:rPr>
        <w:t xml:space="preserve">3.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shd w:val="clear" w:color="auto" w:fill="ffffff"/>
          <w:rtl w:val="0"/>
          <w:lang w:val="ru-RU"/>
        </w:rPr>
        <w:t xml:space="preserve">Активировать способ оплаты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shd w:val="clear" w:color="auto" w:fill="ffffff"/>
          <w:rtl w:val="0"/>
          <w:lang w:val="ru-RU"/>
        </w:rPr>
        <w:t>(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shd w:val="clear" w:color="auto" w:fill="ffffff"/>
          <w:rtl w:val="0"/>
          <w:lang w:val="ru-RU"/>
        </w:rPr>
        <w:t>кнопка в виде плюса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shd w:val="clear" w:color="auto" w:fill="ffffff"/>
          <w:rtl w:val="0"/>
          <w:lang w:val="ru-RU"/>
        </w:rPr>
        <w:t>).</w:t>
      </w:r>
    </w:p>
    <w:p>
      <w:pPr>
        <w:pStyle w:val="heading 1"/>
        <w:shd w:val="clear" w:color="auto" w:fill="ffffff"/>
        <w:spacing w:before="450" w:after="0"/>
        <w:rPr>
          <w:rFonts w:ascii="Segoe UI" w:cs="Segoe UI" w:hAnsi="Segoe UI" w:eastAsia="Segoe UI"/>
          <w:b w:val="0"/>
          <w:bCs w:val="0"/>
          <w:color w:val="172b4d"/>
          <w:spacing w:val="-2"/>
          <w:sz w:val="36"/>
          <w:szCs w:val="36"/>
          <w:u w:color="172b4d"/>
        </w:rPr>
      </w:pPr>
      <w:r>
        <w:rPr>
          <w:rFonts w:ascii="Segoe UI" w:cs="Segoe UI" w:hAnsi="Segoe UI" w:eastAsia="Segoe UI"/>
          <w:b w:val="0"/>
          <w:bCs w:val="0"/>
          <w:color w:val="172b4d"/>
          <w:spacing w:val="-2"/>
          <w:sz w:val="36"/>
          <w:szCs w:val="36"/>
          <w:u w:color="172b4d"/>
          <w:rtl w:val="0"/>
          <w:lang w:val="ru-RU"/>
        </w:rPr>
        <w:t>Настройка плагина</w:t>
      </w: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  <w:r>
        <mc:AlternateContent>
          <mc:Choice Requires="wps">
            <w:drawing>
              <wp:inline distT="0" distB="0" distL="0" distR="0">
                <wp:extent cx="5943600" cy="19050"/>
                <wp:effectExtent l="0" t="0" r="0" b="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050"/>
                        </a:xfrm>
                        <a:prstGeom prst="rect">
                          <a:avLst/>
                        </a:prstGeom>
                        <a:solidFill>
                          <a:srgbClr val="172B4D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7" style="visibility:visible;width:468.0pt;height:1.5pt;">
                <v:fill color="#172B4D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На той же странице перейти на страницу редактирования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(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кнопка в виде карандаша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);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Заполнить поля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:</w:t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Статус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включить или выключить способ оплаты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(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показывать ли на странице оформления заказа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);</w:t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Логин продавца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логин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API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пользователя в платежном шлюзе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Пароль продавца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пароль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API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пользователя в платежном шлюзе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Режим работы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при тестовом режиме модуль взаимодействует с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UAT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платежном шлюзе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при боевом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с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PROD;</w:t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Стадийность платежа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одностадийные или двухстадийные платежи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545454"/>
          <w:sz w:val="21"/>
          <w:szCs w:val="21"/>
          <w:u w:color="545454"/>
          <w:rtl w:val="0"/>
          <w:lang w:val="ru-RU"/>
        </w:rPr>
        <w:t>Настройки передачи данных в ОФД</w:t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Система налогооблажения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доступны следующие значения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:</w:t>
      </w:r>
    </w:p>
    <w:p>
      <w:pPr>
        <w:pStyle w:val="Normal (Web)"/>
        <w:shd w:val="clear" w:color="auto" w:fill="ffffff"/>
        <w:spacing w:before="150" w:after="240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0 -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общая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1 -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упрощённая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доход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2 -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упрощённая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доход минус расход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3 -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единый налог на вменённый доход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4 -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единый сельскохозяйственный налог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5 -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патентная система налогообложения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.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Ставка НДС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доступны следующие значения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:</w:t>
      </w:r>
    </w:p>
    <w:p>
      <w:pPr>
        <w:pStyle w:val="Normal (Web)"/>
        <w:shd w:val="clear" w:color="auto" w:fill="ffffff"/>
        <w:spacing w:before="150" w:after="0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0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– без НДС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1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по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0%;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2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10%;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3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18%;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4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расчетной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10/110;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5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расчетной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18/118;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6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расчетной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20%;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7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расчетной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20/120</w:t>
      </w:r>
    </w:p>
    <w:p>
      <w:pPr>
        <w:pStyle w:val="Normal.0"/>
        <w:shd w:val="clear" w:color="auto" w:fill="ffffff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ff0000"/>
          <w:sz w:val="21"/>
          <w:szCs w:val="21"/>
          <w:u w:color="ff0000"/>
        </w:rPr>
        <w:br w:type="textWrapping"/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545454"/>
          <w:sz w:val="21"/>
          <w:szCs w:val="21"/>
          <w:u w:color="545454"/>
          <w:rtl w:val="0"/>
          <w:lang w:val="ru-RU"/>
        </w:rPr>
        <w:t>Тип оплаты </w:t>
      </w:r>
      <w:r>
        <w:rPr>
          <w:rFonts w:ascii="Segoe UI" w:cs="Segoe UI" w:hAnsi="Segoe UI" w:eastAsia="Segoe UI"/>
          <w:b w:val="1"/>
          <w:bCs w:val="1"/>
          <w:i w:val="1"/>
          <w:iCs w:val="1"/>
          <w:color w:val="ff0000"/>
          <w:sz w:val="21"/>
          <w:szCs w:val="21"/>
          <w:u w:color="ff0000"/>
        </w:rPr>
        <w:br w:type="textWrapping"/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666666"/>
          <w:sz w:val="21"/>
          <w:szCs w:val="21"/>
          <w:u w:color="666666"/>
          <w:rtl w:val="0"/>
          <w:lang w:val="ru-RU"/>
        </w:rPr>
        <w:t>Тип оплаты для доставки</w:t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545454"/>
          <w:sz w:val="21"/>
          <w:szCs w:val="21"/>
          <w:u w:color="545454"/>
          <w:rtl w:val="0"/>
          <w:lang w:val="ru-RU"/>
        </w:rPr>
        <w:t>Тип оплачиваемой позиции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b w:val="1"/>
          <w:bCs w:val="1"/>
          <w:i w:val="1"/>
          <w:iCs w:val="1"/>
          <w:color w:val="ff0000"/>
          <w:sz w:val="21"/>
          <w:szCs w:val="21"/>
          <w:u w:color="ff0000"/>
        </w:rPr>
        <w:br w:type="textWrapping"/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Порядок сортировки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-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данный параметр позволяет указывать позицию отображения в списке платежных систем при оформлении заказа</w:t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Логирование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файл лога находится в  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/system/storage/logs/y_m_oc23x_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en-US"/>
        </w:rPr>
        <w:t>alfa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payment.log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1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Валюта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</w:pPr>
    </w:p>
    <w:p>
      <w:pPr>
        <w:pStyle w:val="Normal.0"/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shd w:val="clear" w:color="auto" w:fill="ffffff"/>
          <w:rtl w:val="0"/>
          <w:lang w:val="ru-RU"/>
        </w:rPr>
        <w:t xml:space="preserve">3.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shd w:val="clear" w:color="auto" w:fill="ffffff"/>
          <w:rtl w:val="0"/>
          <w:lang w:val="ru-RU"/>
        </w:rPr>
        <w:t>Сохранить настройки способа оплаты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shd w:val="clear" w:color="auto" w:fill="ffffff"/>
          <w:rtl w:val="0"/>
          <w:lang w:val="ru-RU"/>
        </w:rPr>
        <w:t>.</w:t>
      </w:r>
    </w:p>
    <w:sectPr>
      <w:headerReference w:type="default" r:id="rId5"/>
      <w:footerReference w:type="default" r:id="rId6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Segoe U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1.0"/>
  </w:abstractNum>
  <w:abstractNum w:abstractNumId="3">
    <w:multiLevelType w:val="hybridMultilevel"/>
    <w:styleLink w:val="Импортированный стиль 1.0"/>
    <w:lvl w:ilvl="0">
      <w:start w:val="1"/>
      <w:numFmt w:val="bullet"/>
      <w:suff w:val="tab"/>
      <w:lvlText w:val="•"/>
      <w:lvlJc w:val="left"/>
      <w:pPr>
        <w:tabs>
          <w:tab w:val="left" w:pos="1440"/>
        </w:tabs>
        <w:ind w:left="3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left" w:pos="144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144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44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144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144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44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144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144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paragraph" w:styleId="heading 1">
    <w:name w:val="heading 1"/>
    <w:next w:val="heading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6"/>
      <w:position w:val="0"/>
      <w:sz w:val="48"/>
      <w:szCs w:val="48"/>
      <w:u w:val="none" w:color="000000"/>
      <w:vertAlign w:val="baseline"/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1.0">
    <w:name w:val="Импортированный стиль 1.0"/>
    <w:pPr>
      <w:numPr>
        <w:numId w:val="3"/>
      </w:numPr>
    </w:p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