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shd w:val="clear" w:color="auto" w:fill="ffffff"/>
        <w:spacing w:before="450" w:after="0" w:line="240" w:lineRule="auto"/>
        <w:outlineLvl w:val="0"/>
        <w:rPr>
          <w:rFonts w:ascii="Segoe UI" w:cs="Segoe UI" w:hAnsi="Segoe UI" w:eastAsia="Segoe UI"/>
          <w:color w:val="172b4d"/>
          <w:spacing w:val="-2"/>
          <w:kern w:val="36"/>
          <w:sz w:val="36"/>
          <w:szCs w:val="36"/>
          <w:u w:color="172b4d"/>
        </w:rPr>
      </w:pPr>
      <w:r>
        <w:rPr>
          <w:rFonts w:ascii="Segoe UI" w:cs="Segoe UI" w:hAnsi="Segoe UI" w:eastAsia="Segoe UI"/>
          <w:color w:val="172b4d"/>
          <w:spacing w:val="-2"/>
          <w:kern w:val="36"/>
          <w:sz w:val="36"/>
          <w:szCs w:val="36"/>
          <w:u w:color="172b4d"/>
          <w:rtl w:val="0"/>
          <w:lang w:val="ru-RU"/>
        </w:rPr>
        <w:t>Установка плагина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cs="Times New Roman" w:hAnsi="Times New Roman" w:eastAsia="Times New Roman"/>
          <w:sz w:val="24"/>
          <w:szCs w:val="24"/>
        </w:rPr>
        <mc:AlternateContent>
          <mc:Choice Requires="wps">
            <w:drawing>
              <wp:inline distT="0" distB="0" distL="0" distR="0">
                <wp:extent cx="5943600" cy="19050"/>
                <wp:effectExtent l="0" t="0" r="0" b="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9050"/>
                        </a:xfrm>
                        <a:prstGeom prst="rect">
                          <a:avLst/>
                        </a:prstGeom>
                        <a:solidFill>
                          <a:srgbClr val="172B4D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_x0000_s1026" style="visibility:visible;width:468.0pt;height:1.5pt;">
                <v:fill color="#172B4D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</w:pict>
          </mc:Fallback>
        </mc:AlternateContent>
      </w:r>
    </w:p>
    <w:p>
      <w:pPr>
        <w:pStyle w:val="Normal.0"/>
        <w:shd w:val="clear" w:color="auto" w:fill="ffffff"/>
        <w:spacing w:before="150"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Стандартный установщик модулей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OcMod</w:t>
      </w:r>
    </w:p>
    <w:p>
      <w:pPr>
        <w:pStyle w:val="Normal.0"/>
        <w:numPr>
          <w:ilvl w:val="0"/>
          <w:numId w:val="2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424242"/>
          <w:sz w:val="21"/>
          <w:szCs w:val="21"/>
          <w:u w:color="424242"/>
          <w:rtl w:val="0"/>
          <w:lang w:val="ru-RU"/>
        </w:rPr>
        <w:t xml:space="preserve">Загрузка модификатора через Меню </w:t>
      </w:r>
      <w:r>
        <w:rPr>
          <w:rFonts w:ascii="Segoe UI" w:cs="Segoe UI" w:hAnsi="Segoe UI" w:eastAsia="Segoe UI"/>
          <w:color w:val="424242"/>
          <w:sz w:val="21"/>
          <w:szCs w:val="21"/>
          <w:u w:color="424242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424242"/>
          <w:sz w:val="21"/>
          <w:szCs w:val="21"/>
          <w:u w:color="424242"/>
          <w:rtl w:val="0"/>
          <w:lang w:val="ru-RU"/>
        </w:rPr>
        <w:t xml:space="preserve">Модули </w:t>
      </w:r>
      <w:r>
        <w:rPr>
          <w:rFonts w:ascii="Segoe UI" w:cs="Segoe UI" w:hAnsi="Segoe UI" w:eastAsia="Segoe UI"/>
          <w:color w:val="424242"/>
          <w:sz w:val="21"/>
          <w:szCs w:val="21"/>
          <w:u w:color="424242"/>
          <w:rtl w:val="0"/>
          <w:lang w:val="ru-RU"/>
        </w:rPr>
        <w:t xml:space="preserve">/ </w:t>
      </w:r>
      <w:r>
        <w:rPr>
          <w:rFonts w:ascii="Segoe UI" w:cs="Segoe UI" w:hAnsi="Segoe UI" w:eastAsia="Segoe UI"/>
          <w:color w:val="424242"/>
          <w:sz w:val="21"/>
          <w:szCs w:val="21"/>
          <w:u w:color="424242"/>
          <w:rtl w:val="0"/>
          <w:lang w:val="ru-RU"/>
        </w:rPr>
        <w:t xml:space="preserve">Расширения </w:t>
      </w:r>
      <w:r>
        <w:rPr>
          <w:rFonts w:ascii="Segoe UI" w:cs="Segoe UI" w:hAnsi="Segoe UI" w:eastAsia="Segoe UI"/>
          <w:color w:val="424242"/>
          <w:sz w:val="21"/>
          <w:szCs w:val="21"/>
          <w:u w:color="424242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424242"/>
          <w:sz w:val="21"/>
          <w:szCs w:val="21"/>
          <w:u w:color="424242"/>
          <w:rtl w:val="0"/>
          <w:lang w:val="ru-RU"/>
        </w:rPr>
        <w:t>Установка расширений</w:t>
      </w:r>
    </w:p>
    <w:p>
      <w:pPr>
        <w:pStyle w:val="Normal.0"/>
        <w:numPr>
          <w:ilvl w:val="0"/>
          <w:numId w:val="2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Активировать способ оплаты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(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кнопка в виде плюса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)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в списке модулей оплаты</w:t>
      </w:r>
    </w:p>
    <w:p>
      <w:pPr>
        <w:pStyle w:val="Normal.0"/>
        <w:shd w:val="clear" w:color="auto" w:fill="ffffff"/>
        <w:spacing w:before="150"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</w:p>
    <w:p>
      <w:pPr>
        <w:pStyle w:val="Normal.0"/>
        <w:shd w:val="clear" w:color="auto" w:fill="ffffff"/>
        <w:spacing w:before="150"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Альтернативный способ установки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(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загрузка модуля по ФТП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)</w:t>
      </w:r>
    </w:p>
    <w:p>
      <w:pPr>
        <w:pStyle w:val="Normal.0"/>
        <w:numPr>
          <w:ilvl w:val="0"/>
          <w:numId w:val="4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Скопировать файлы из директории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upload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в директорию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,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где установлена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CMS</w:t>
      </w:r>
    </w:p>
    <w:p>
      <w:pPr>
        <w:pStyle w:val="Normal.0"/>
        <w:numPr>
          <w:ilvl w:val="0"/>
          <w:numId w:val="4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В административной панели перейти в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"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Боковое меню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" -&gt; "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Дополнения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" -&gt; "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Платежи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";</w:t>
      </w:r>
    </w:p>
    <w:p>
      <w:pPr>
        <w:pStyle w:val="Normal.0"/>
        <w:numPr>
          <w:ilvl w:val="0"/>
          <w:numId w:val="4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Активировать способ оплаты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(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кнопка в виде плюса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)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в списке модулей оплаты</w:t>
      </w:r>
    </w:p>
    <w:p>
      <w:pPr>
        <w:pStyle w:val="Normal.0"/>
        <w:shd w:val="clear" w:color="auto" w:fill="ffffff"/>
        <w:spacing w:before="450" w:after="0" w:line="240" w:lineRule="auto"/>
        <w:outlineLvl w:val="0"/>
        <w:rPr>
          <w:rFonts w:ascii="Segoe UI" w:cs="Segoe UI" w:hAnsi="Segoe UI" w:eastAsia="Segoe UI"/>
          <w:color w:val="172b4d"/>
          <w:spacing w:val="-2"/>
          <w:kern w:val="36"/>
          <w:sz w:val="36"/>
          <w:szCs w:val="36"/>
          <w:u w:color="172b4d"/>
        </w:rPr>
      </w:pPr>
      <w:r>
        <w:rPr>
          <w:rFonts w:ascii="Segoe UI" w:cs="Segoe UI" w:hAnsi="Segoe UI" w:eastAsia="Segoe UI"/>
          <w:color w:val="172b4d"/>
          <w:spacing w:val="-2"/>
          <w:kern w:val="36"/>
          <w:sz w:val="36"/>
          <w:szCs w:val="36"/>
          <w:u w:color="172b4d"/>
          <w:rtl w:val="0"/>
          <w:lang w:val="ru-RU"/>
        </w:rPr>
        <w:t>Настройка плагина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cs="Times New Roman" w:hAnsi="Times New Roman" w:eastAsia="Times New Roman"/>
          <w:sz w:val="24"/>
          <w:szCs w:val="24"/>
        </w:rPr>
        <mc:AlternateContent>
          <mc:Choice Requires="wps">
            <w:drawing>
              <wp:inline distT="0" distB="0" distL="0" distR="0">
                <wp:extent cx="5943600" cy="19050"/>
                <wp:effectExtent l="0" t="0" r="0" b="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9050"/>
                        </a:xfrm>
                        <a:prstGeom prst="rect">
                          <a:avLst/>
                        </a:prstGeom>
                        <a:solidFill>
                          <a:srgbClr val="172B4D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_x0000_s1027" style="visibility:visible;width:468.0pt;height:1.5pt;">
                <v:fill color="#172B4D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</w:pict>
          </mc:Fallback>
        </mc:AlternateContent>
      </w:r>
    </w:p>
    <w:p>
      <w:pPr>
        <w:pStyle w:val="Normal.0"/>
        <w:numPr>
          <w:ilvl w:val="0"/>
          <w:numId w:val="6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На странице в списках модулей оплаты перейти на страницу редактирования настроек модуля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(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кнопка в виде карандаша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);</w:t>
      </w:r>
    </w:p>
    <w:p>
      <w:pPr>
        <w:pStyle w:val="Normal.0"/>
        <w:numPr>
          <w:ilvl w:val="0"/>
          <w:numId w:val="6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Заполнить поля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:</w:t>
      </w:r>
    </w:p>
    <w:p>
      <w:pPr>
        <w:pStyle w:val="Normal.0"/>
        <w:numPr>
          <w:ilvl w:val="1"/>
          <w:numId w:val="6"/>
        </w:numPr>
        <w:shd w:val="clear" w:color="auto" w:fill="ffffff"/>
        <w:spacing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</w:p>
    <w:p>
      <w:pPr>
        <w:pStyle w:val="Normal.0"/>
        <w:numPr>
          <w:ilvl w:val="2"/>
          <w:numId w:val="8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Статус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включить или выключить способ оплаты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(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показывать ли на странице оформления заказа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);</w:t>
      </w:r>
    </w:p>
    <w:p>
      <w:pPr>
        <w:pStyle w:val="Normal.0"/>
        <w:numPr>
          <w:ilvl w:val="2"/>
          <w:numId w:val="8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Логин продавца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логин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API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пользователя в платежном шлюзе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</w:p>
    <w:p>
      <w:pPr>
        <w:pStyle w:val="Normal.0"/>
        <w:numPr>
          <w:ilvl w:val="2"/>
          <w:numId w:val="8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Пароль продавца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пароль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API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пользователя в платежном шлюзе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</w:p>
    <w:p>
      <w:pPr>
        <w:pStyle w:val="Normal.0"/>
        <w:numPr>
          <w:ilvl w:val="2"/>
          <w:numId w:val="8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Режим работы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при тестовом режиме модуль взаимодействует с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UAT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платежном шлюзе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,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при боевом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с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PROD;</w:t>
      </w:r>
    </w:p>
    <w:p>
      <w:pPr>
        <w:pStyle w:val="Normal.0"/>
        <w:numPr>
          <w:ilvl w:val="2"/>
          <w:numId w:val="8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Стадийность платежа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одностадийные или двухстадийные платежи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  <w:br w:type="textWrapping"/>
      </w:r>
      <w:r>
        <w:rPr>
          <w:rFonts w:ascii="Segoe UI" w:cs="Segoe UI" w:hAnsi="Segoe UI" w:eastAsia="Segoe UI"/>
          <w:b w:val="1"/>
          <w:bCs w:val="1"/>
          <w:color w:val="545454"/>
          <w:sz w:val="21"/>
          <w:szCs w:val="21"/>
          <w:u w:color="545454"/>
          <w:rtl w:val="0"/>
          <w:lang w:val="ru-RU"/>
        </w:rPr>
        <w:t>Настройки передачи данных в ОФД</w:t>
      </w: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 </w:t>
      </w:r>
    </w:p>
    <w:p>
      <w:pPr>
        <w:pStyle w:val="Normal.0"/>
        <w:numPr>
          <w:ilvl w:val="2"/>
          <w:numId w:val="8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Система налогооблажения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доступны следующие значения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:</w:t>
      </w:r>
    </w:p>
    <w:p>
      <w:pPr>
        <w:pStyle w:val="Normal.0"/>
        <w:shd w:val="clear" w:color="auto" w:fill="ffffff"/>
        <w:spacing w:before="150" w:after="24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0 -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общая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1 -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упрощённая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,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доход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2 -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упрощённая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,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доход минус расход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3 -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единый налог на вменённый доход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4 -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единый сельскохозяйственный налог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5 -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патентная система налогообложения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.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</w:p>
    <w:p>
      <w:pPr>
        <w:pStyle w:val="Normal.0"/>
        <w:numPr>
          <w:ilvl w:val="2"/>
          <w:numId w:val="8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Ставка НДС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доступны следующие значения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:</w:t>
      </w:r>
    </w:p>
    <w:p>
      <w:pPr>
        <w:pStyle w:val="Normal.0"/>
        <w:shd w:val="clear" w:color="auto" w:fill="ffffff"/>
        <w:spacing w:before="150"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0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– без НДС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1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– НДС по ставке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0%;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2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– НДС чека по ставке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10%;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3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– НДС чека по ставке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18%;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4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– НДС чека по расчетной ставке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10/110;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5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– НДС чека по расчетной ставке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18/118;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6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– НДС чека по расчетной ставке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20%;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7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– НДС чека по расчетной ставке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20/120</w:t>
      </w:r>
    </w:p>
    <w:p>
      <w:pPr>
        <w:pStyle w:val="Normal.0"/>
        <w:shd w:val="clear" w:color="auto" w:fill="ffffff"/>
        <w:spacing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b w:val="1"/>
          <w:bCs w:val="1"/>
          <w:i w:val="1"/>
          <w:iCs w:val="1"/>
          <w:color w:val="ff0000"/>
          <w:sz w:val="21"/>
          <w:szCs w:val="21"/>
          <w:u w:color="ff0000"/>
        </w:rPr>
        <w:br w:type="textWrapping"/>
      </w:r>
    </w:p>
    <w:p>
      <w:pPr>
        <w:pStyle w:val="Normal.0"/>
        <w:numPr>
          <w:ilvl w:val="2"/>
          <w:numId w:val="8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i w:val="1"/>
          <w:iCs w:val="1"/>
          <w:color w:val="545454"/>
          <w:sz w:val="21"/>
          <w:szCs w:val="21"/>
          <w:u w:color="545454"/>
          <w:rtl w:val="0"/>
          <w:lang w:val="ru-RU"/>
        </w:rPr>
        <w:t>Тип оплаты </w:t>
      </w:r>
      <w:r>
        <w:rPr>
          <w:rFonts w:ascii="Segoe UI" w:cs="Segoe UI" w:hAnsi="Segoe UI" w:eastAsia="Segoe UI"/>
          <w:b w:val="1"/>
          <w:bCs w:val="1"/>
          <w:i w:val="1"/>
          <w:iCs w:val="1"/>
          <w:color w:val="ff0000"/>
          <w:sz w:val="21"/>
          <w:szCs w:val="21"/>
          <w:u w:color="ff0000"/>
          <w:rtl w:val="0"/>
          <w:lang w:val="ru-RU"/>
        </w:rPr>
        <w:t> </w:t>
        <w:br w:type="textWrapping"/>
      </w:r>
    </w:p>
    <w:p>
      <w:pPr>
        <w:pStyle w:val="Normal.0"/>
        <w:numPr>
          <w:ilvl w:val="2"/>
          <w:numId w:val="8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i w:val="1"/>
          <w:iCs w:val="1"/>
          <w:color w:val="545454"/>
          <w:sz w:val="21"/>
          <w:szCs w:val="21"/>
          <w:u w:color="545454"/>
          <w:rtl w:val="0"/>
          <w:lang w:val="ru-RU"/>
        </w:rPr>
        <w:t>Тип оплаты для доставки </w:t>
      </w:r>
      <w:r>
        <w:rPr>
          <w:rFonts w:ascii="Segoe UI" w:cs="Segoe UI" w:hAnsi="Segoe UI" w:eastAsia="Segoe UI"/>
          <w:b w:val="1"/>
          <w:bCs w:val="1"/>
          <w:i w:val="1"/>
          <w:iCs w:val="1"/>
          <w:color w:val="ff0000"/>
          <w:sz w:val="21"/>
          <w:szCs w:val="21"/>
          <w:u w:color="ff0000"/>
          <w:rtl w:val="0"/>
          <w:lang w:val="ru-RU"/>
        </w:rPr>
        <w:t> </w:t>
      </w:r>
    </w:p>
    <w:p>
      <w:pPr>
        <w:pStyle w:val="Normal.0"/>
        <w:numPr>
          <w:ilvl w:val="2"/>
          <w:numId w:val="8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i w:val="1"/>
          <w:iCs w:val="1"/>
          <w:color w:val="545454"/>
          <w:sz w:val="21"/>
          <w:szCs w:val="21"/>
          <w:u w:color="545454"/>
          <w:rtl w:val="0"/>
          <w:lang w:val="ru-RU"/>
        </w:rPr>
        <w:t>Тип оплачиваемой позиции </w:t>
      </w:r>
      <w:r>
        <w:rPr>
          <w:rFonts w:ascii="Segoe UI" w:cs="Segoe UI" w:hAnsi="Segoe UI" w:eastAsia="Segoe UI"/>
          <w:b w:val="1"/>
          <w:bCs w:val="1"/>
          <w:i w:val="1"/>
          <w:iCs w:val="1"/>
          <w:color w:val="ff0000"/>
          <w:sz w:val="21"/>
          <w:szCs w:val="21"/>
          <w:u w:color="ff0000"/>
          <w:rtl w:val="0"/>
          <w:lang w:val="ru-RU"/>
        </w:rPr>
        <w:t> </w:t>
        <w:br w:type="textWrapping"/>
      </w:r>
    </w:p>
    <w:p>
      <w:pPr>
        <w:pStyle w:val="Normal.0"/>
        <w:numPr>
          <w:ilvl w:val="2"/>
          <w:numId w:val="8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Порядок сортировки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  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-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 </w:t>
      </w:r>
      <w:r>
        <w:rPr>
          <w:rFonts w:ascii="Segoe UI" w:cs="Segoe UI" w:hAnsi="Segoe UI" w:eastAsia="Segoe UI"/>
          <w:i w:val="1"/>
          <w:iCs w:val="1"/>
          <w:color w:val="172b4d"/>
          <w:sz w:val="21"/>
          <w:szCs w:val="21"/>
          <w:u w:color="172b4d"/>
          <w:rtl w:val="0"/>
          <w:lang w:val="ru-RU"/>
        </w:rPr>
        <w:t>данный параметр позволяет указывать позицию отображения в списке платежных систем при оформлении заказа</w:t>
      </w:r>
    </w:p>
    <w:p>
      <w:pPr>
        <w:pStyle w:val="Normal.0"/>
        <w:numPr>
          <w:ilvl w:val="2"/>
          <w:numId w:val="8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i w:val="1"/>
          <w:iCs w:val="1"/>
          <w:color w:val="172b4d"/>
          <w:sz w:val="21"/>
          <w:szCs w:val="21"/>
          <w:u w:color="172b4d"/>
          <w:rtl w:val="0"/>
          <w:lang w:val="ru-RU"/>
        </w:rPr>
        <w:t>Логирование</w:t>
      </w:r>
      <w:r>
        <w:rPr>
          <w:rFonts w:ascii="Segoe UI" w:cs="Segoe UI" w:hAnsi="Segoe UI" w:eastAsia="Segoe UI"/>
          <w:i w:val="1"/>
          <w:iCs w:val="1"/>
          <w:color w:val="172b4d"/>
          <w:sz w:val="21"/>
          <w:szCs w:val="21"/>
          <w:u w:color="172b4d"/>
          <w:rtl w:val="0"/>
          <w:lang w:val="ru-RU"/>
        </w:rPr>
        <w:t>    </w:t>
      </w:r>
      <w:r>
        <w:rPr>
          <w:rFonts w:ascii="Segoe UI" w:cs="Segoe UI" w:hAnsi="Segoe UI" w:eastAsia="Segoe UI"/>
          <w:i w:val="1"/>
          <w:iCs w:val="1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i w:val="1"/>
          <w:iCs w:val="1"/>
          <w:color w:val="172b4d"/>
          <w:sz w:val="21"/>
          <w:szCs w:val="21"/>
          <w:u w:color="172b4d"/>
          <w:rtl w:val="0"/>
          <w:lang w:val="ru-RU"/>
        </w:rPr>
        <w:t>файл лога находится в    </w:t>
      </w:r>
      <w:r>
        <w:rPr>
          <w:rFonts w:ascii="Segoe UI" w:cs="Segoe UI" w:hAnsi="Segoe UI" w:eastAsia="Segoe UI"/>
          <w:b w:val="1"/>
          <w:bCs w:val="1"/>
          <w:i w:val="1"/>
          <w:iCs w:val="1"/>
          <w:color w:val="172b4d"/>
          <w:sz w:val="21"/>
          <w:szCs w:val="21"/>
          <w:u w:color="172b4d"/>
          <w:rtl w:val="0"/>
          <w:lang w:val="ru-RU"/>
        </w:rPr>
        <w:t>/system/storage/logs/y_m_d_</w:t>
      </w:r>
      <w:r>
        <w:rPr>
          <w:rFonts w:ascii="Segoe UI" w:cs="Segoe UI" w:hAnsi="Segoe UI" w:eastAsia="Segoe UI"/>
          <w:b w:val="1"/>
          <w:bCs w:val="1"/>
          <w:i w:val="1"/>
          <w:iCs w:val="1"/>
          <w:color w:val="172b4d"/>
          <w:sz w:val="21"/>
          <w:szCs w:val="21"/>
          <w:u w:color="172b4d"/>
          <w:rtl w:val="0"/>
          <w:lang w:val="en-US"/>
        </w:rPr>
        <w:t>alfa</w:t>
      </w:r>
      <w:r>
        <w:rPr>
          <w:rFonts w:ascii="Segoe UI" w:cs="Segoe UI" w:hAnsi="Segoe UI" w:eastAsia="Segoe UI"/>
          <w:b w:val="1"/>
          <w:bCs w:val="1"/>
          <w:i w:val="1"/>
          <w:iCs w:val="1"/>
          <w:color w:val="172b4d"/>
          <w:sz w:val="21"/>
          <w:szCs w:val="21"/>
          <w:u w:color="172b4d"/>
          <w:rtl w:val="0"/>
          <w:lang w:val="ru-RU"/>
        </w:rPr>
        <w:t>payment.log</w:t>
      </w:r>
      <w:r>
        <w:rPr>
          <w:rFonts w:ascii="Segoe UI" w:cs="Segoe UI" w:hAnsi="Segoe UI" w:eastAsia="Segoe UI"/>
          <w:i w:val="1"/>
          <w:iCs w:val="1"/>
          <w:color w:val="172b4d"/>
          <w:sz w:val="21"/>
          <w:szCs w:val="21"/>
          <w:u w:color="172b4d"/>
          <w:rtl w:val="0"/>
          <w:lang w:val="ru-RU"/>
        </w:rPr>
        <w:t>   </w:t>
      </w:r>
      <w:r>
        <w:rPr>
          <w:rFonts w:ascii="Segoe UI" w:cs="Segoe UI" w:hAnsi="Segoe UI" w:eastAsia="Segoe UI"/>
          <w:i w:val="1"/>
          <w:iCs w:val="1"/>
          <w:color w:val="172b4d"/>
          <w:sz w:val="21"/>
          <w:szCs w:val="21"/>
          <w:u w:color="172b4d"/>
          <w:rtl w:val="0"/>
          <w:lang w:val="ru-RU"/>
        </w:rPr>
        <w:t>;</w:t>
      </w:r>
    </w:p>
    <w:p>
      <w:pPr>
        <w:pStyle w:val="Normal.0"/>
        <w:shd w:val="clear" w:color="auto" w:fill="ffffff"/>
        <w:tabs>
          <w:tab w:val="left" w:pos="2160"/>
        </w:tabs>
        <w:bidi w:val="0"/>
        <w:spacing w:before="100" w:after="100" w:line="240" w:lineRule="auto"/>
        <w:ind w:left="360" w:right="0" w:firstLine="0"/>
        <w:jc w:val="left"/>
        <w:rPr>
          <w:rFonts w:ascii="Segoe UI" w:cs="Segoe UI" w:hAnsi="Segoe UI" w:eastAsia="Segoe UI"/>
          <w:i w:val="1"/>
          <w:iCs w:val="1"/>
          <w:color w:val="172b4d"/>
          <w:sz w:val="21"/>
          <w:szCs w:val="21"/>
          <w:u w:color="172b4d"/>
          <w:rtl w:val="0"/>
        </w:rPr>
      </w:pPr>
    </w:p>
    <w:p>
      <w:pPr>
        <w:pStyle w:val="Normal.0"/>
        <w:shd w:val="clear" w:color="auto" w:fill="ffffff"/>
        <w:tabs>
          <w:tab w:val="left" w:pos="2160"/>
        </w:tabs>
        <w:bidi w:val="0"/>
        <w:spacing w:before="100" w:after="100" w:line="240" w:lineRule="auto"/>
        <w:ind w:left="360" w:right="0" w:firstLine="0"/>
        <w:jc w:val="left"/>
        <w:rPr>
          <w:rtl w:val="0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Сохранить настройки способа оплаты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.</w:t>
      </w:r>
    </w:p>
    <w:sectPr>
      <w:headerReference w:type="default" r:id="rId4"/>
      <w:footerReference w:type="default" r:id="rId5"/>
      <w:pgSz w:w="11900" w:h="16840" w:orient="portrait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Segoe U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bullet"/>
      <w:suff w:val="tab"/>
      <w:lvlText w:val="▪"/>
      <w:lvlJc w:val="left"/>
      <w:pPr>
        <w:tabs>
          <w:tab w:val="left" w:pos="720"/>
        </w:tabs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bullet"/>
      <w:suff w:val="tab"/>
      <w:lvlText w:val="·"/>
      <w:lvlJc w:val="left"/>
      <w:pPr>
        <w:tabs>
          <w:tab w:val="left" w:pos="72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left" w:pos="720"/>
        </w:tabs>
        <w:ind w:left="14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1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720"/>
        </w:tabs>
        <w:ind w:left="36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43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720"/>
        </w:tabs>
        <w:ind w:left="57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">
    <w:multiLevelType w:val="hybridMultilevel"/>
    <w:numStyleLink w:val="Импортированный стиль 3"/>
  </w:abstractNum>
  <w:abstractNum w:abstractNumId="5">
    <w:multiLevelType w:val="hybridMultilevel"/>
    <w:styleLink w:val="Импортированный стиль 3"/>
    <w:lvl w:ilvl="0">
      <w:start w:val="1"/>
      <w:numFmt w:val="decimal"/>
      <w:suff w:val="tab"/>
      <w:lvlText w:val="%1."/>
      <w:lvlJc w:val="left"/>
      <w:pPr>
        <w:tabs>
          <w:tab w:val="left" w:pos="72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144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suff w:val="tab"/>
      <w:lvlText w:val="%3."/>
      <w:lvlJc w:val="left"/>
      <w:pPr>
        <w:tabs>
          <w:tab w:val="left" w:pos="1440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144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1440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Импортированный стиль 3.0"/>
  </w:abstractNum>
  <w:abstractNum w:abstractNumId="7">
    <w:multiLevelType w:val="hybridMultilevel"/>
    <w:styleLink w:val="Импортированный стиль 3.0"/>
    <w:lvl w:ilvl="0">
      <w:start w:val="1"/>
      <w:numFmt w:val="bullet"/>
      <w:suff w:val="tab"/>
      <w:lvlText w:val="•"/>
      <w:lvlJc w:val="left"/>
      <w:pPr>
        <w:tabs>
          <w:tab w:val="left" w:pos="2160"/>
        </w:tabs>
        <w:ind w:left="34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2160"/>
        </w:tabs>
        <w:ind w:left="124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left" w:pos="216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216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216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216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216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216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216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">
    <w:name w:val="Колонтитул"/>
    <w:next w:val="Колонтитул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/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numbering" w:styleId="Импортированный стиль 3">
    <w:name w:val="Импортированный стиль 3"/>
    <w:pPr>
      <w:numPr>
        <w:numId w:val="5"/>
      </w:numPr>
    </w:pPr>
  </w:style>
  <w:style w:type="numbering" w:styleId="Импортированный стиль 3.0">
    <w:name w:val="Импортированный стиль 3.0"/>
    <w:pPr>
      <w:numPr>
        <w:numId w:val="7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