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heading 1"/>
        <w:spacing w:before="0" w:after="245"/>
      </w:pPr>
      <w:r>
        <w:rPr>
          <w:rtl w:val="0"/>
          <w:lang w:val="en-US"/>
        </w:rPr>
        <w:t>PrestaShop</w:t>
      </w:r>
      <w:r>
        <w:rPr>
          <w:rtl w:val="0"/>
          <w:lang w:val="ru-RU"/>
        </w:rPr>
        <w:t xml:space="preserve"> 1.5.</w:t>
      </w:r>
      <w:r>
        <w:rPr>
          <w:rtl w:val="0"/>
          <w:lang w:val="en-US"/>
        </w:rPr>
        <w:t>x</w:t>
      </w:r>
    </w:p>
    <w:p>
      <w:pPr>
        <w:pStyle w:val="heading 1"/>
      </w:pPr>
      <w:bookmarkStart w:name="scrollbookmark1" w:id="0"/>
      <w:bookmarkEnd w:id="0"/>
      <w:r>
        <w:rPr>
          <w:rtl w:val="0"/>
          <w:lang w:val="ru-RU"/>
        </w:rPr>
        <w:t>А</w:t>
      </w:r>
      <w:bookmarkStart w:name="scrollbookmark2" w:id="1"/>
      <w:r>
        <w:rPr>
          <w:rtl w:val="0"/>
          <w:lang w:val="ru-RU"/>
        </w:rPr>
        <w:t>ктуальная версия платежного обработчика</w:t>
      </w:r>
      <w:r>
        <w:rPr>
          <w:rtl w:val="0"/>
          <w:lang w:val="en-US"/>
        </w:rPr>
        <w:t>  </w:t>
      </w:r>
      <w:r>
        <w:rPr>
          <w:rtl w:val="0"/>
          <w:lang w:val="ru-RU"/>
        </w:rPr>
        <w:t>2.3.</w:t>
      </w:r>
      <w:bookmarkEnd w:id="1"/>
      <w:r>
        <w:rPr>
          <w:rtl w:val="0"/>
          <w:lang w:val="ru-RU"/>
        </w:rPr>
        <w:t>0</w:t>
      </w:r>
    </w:p>
    <w:p>
      <w:pPr>
        <w:pStyle w:val="Normal.0"/>
        <w:rPr>
          <w:lang w:val="ru-RU"/>
        </w:rPr>
      </w:pPr>
    </w:p>
    <w:p>
      <w:pPr>
        <w:pStyle w:val="Normal.0"/>
      </w:pPr>
      <w:r>
        <w:rPr>
          <w:rtl w:val="0"/>
        </w:rPr>
        <w:t xml:space="preserve">1. </w:t>
      </w:r>
      <w:r>
        <w:rPr>
          <w:rtl w:val="0"/>
        </w:rPr>
        <w:t xml:space="preserve">Установка в панели </w:t>
      </w:r>
      <w:r>
        <w:rPr>
          <w:rtl w:val="0"/>
        </w:rPr>
        <w:t>prestashop:</w:t>
      </w:r>
    </w:p>
    <w:p>
      <w:pPr>
        <w:pStyle w:val="Normal.0"/>
      </w:pPr>
    </w:p>
    <w:p>
      <w:pPr>
        <w:pStyle w:val="Normal.0"/>
      </w:pPr>
      <w:r>
        <w:rPr>
          <w:rtl w:val="0"/>
          <w:lang w:val="ru-RU"/>
        </w:rPr>
        <w:t>В меню</w:t>
      </w:r>
      <w:r>
        <w:rPr>
          <w:rtl w:val="0"/>
          <w:lang w:val="en-US"/>
        </w:rPr>
        <w:t> </w:t>
      </w:r>
      <w:r>
        <w:rPr>
          <w:b w:val="1"/>
          <w:bCs w:val="1"/>
          <w:rtl w:val="0"/>
          <w:lang w:val="ru-RU"/>
        </w:rPr>
        <w:t>«Модули»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>выбрать</w:t>
      </w:r>
      <w:r>
        <w:rPr>
          <w:rtl w:val="0"/>
          <w:lang w:val="en-US"/>
        </w:rPr>
        <w:t> </w:t>
      </w:r>
      <w:r>
        <w:rPr>
          <w:b w:val="1"/>
          <w:bCs w:val="1"/>
          <w:rtl w:val="0"/>
          <w:lang w:val="ru-RU"/>
        </w:rPr>
        <w:t>«Модули и сервисы»</w:t>
      </w:r>
      <w:r>
        <w:rPr>
          <w:b w:val="1"/>
          <w:bCs w:val="1"/>
          <w:rtl w:val="0"/>
          <w:lang w:val="ru-RU"/>
        </w:rPr>
        <w:t>.</w:t>
      </w:r>
      <w:r>
        <w:rPr>
          <w:b w:val="1"/>
          <w:bCs w:val="1"/>
          <w:rtl w:val="0"/>
          <w:lang w:val="en-US"/>
        </w:rPr>
        <w:t> </w:t>
      </w:r>
    </w:p>
    <w:p>
      <w:pPr>
        <w:pStyle w:val="Normal.0"/>
      </w:pPr>
      <w:r>
        <w:rPr>
          <w:rtl w:val="0"/>
          <w:lang w:val="ru-RU"/>
        </w:rPr>
        <w:t>В поле поиска ввести</w:t>
      </w:r>
      <w:r>
        <w:rPr>
          <w:rtl w:val="0"/>
          <w:lang w:val="en-US"/>
        </w:rPr>
        <w:t> </w:t>
      </w:r>
      <w:r>
        <w:rPr>
          <w:b w:val="1"/>
          <w:bCs w:val="1"/>
          <w:rtl w:val="0"/>
          <w:lang w:val="ru-RU"/>
        </w:rPr>
        <w:t>«Оплата по карте»</w:t>
      </w:r>
      <w:r>
        <w:rPr>
          <w:b w:val="1"/>
          <w:bCs w:val="1"/>
          <w:rtl w:val="0"/>
          <w:lang w:val="ru-RU"/>
        </w:rPr>
        <w:t>.</w:t>
      </w:r>
    </w:p>
    <w:p>
      <w:pPr>
        <w:pStyle w:val="Normal.0"/>
      </w:pPr>
      <w:r>
        <w:rPr>
          <w:rtl w:val="0"/>
          <w:lang w:val="ru-RU"/>
        </w:rPr>
        <w:t>Кликнуть</w:t>
      </w:r>
      <w:r>
        <w:rPr>
          <w:rtl w:val="0"/>
          <w:lang w:val="en-US"/>
        </w:rPr>
        <w:t> </w:t>
      </w:r>
      <w:r>
        <w:rPr>
          <w:b w:val="1"/>
          <w:bCs w:val="1"/>
          <w:rtl w:val="0"/>
          <w:lang w:val="ru-RU"/>
        </w:rPr>
        <w:t>«Настроить»</w:t>
      </w:r>
      <w:r>
        <w:rPr>
          <w:b w:val="1"/>
          <w:bCs w:val="1"/>
          <w:rtl w:val="0"/>
          <w:lang w:val="ru-RU"/>
        </w:rPr>
        <w:t>.</w:t>
      </w:r>
    </w:p>
    <w:p>
      <w:pPr>
        <w:pStyle w:val="Normal.0"/>
        <w:rPr>
          <w:lang w:val="ru-RU"/>
        </w:rPr>
      </w:pPr>
    </w:p>
    <w:p>
      <w:pPr>
        <w:pStyle w:val="Normal.0"/>
        <w:rPr>
          <w:lang w:val="ru-RU"/>
        </w:rPr>
      </w:pPr>
      <w:r>
        <w:rPr>
          <w:b w:val="1"/>
          <w:bCs w:val="1"/>
          <w:color w:val="003366"/>
          <w:u w:val="single" w:color="003366"/>
          <w:rtl w:val="0"/>
          <w:lang w:val="ru-RU"/>
        </w:rPr>
        <w:t>Настройки платежного модуля</w:t>
      </w:r>
      <w:r>
        <w:rPr>
          <w:b w:val="1"/>
          <w:bCs w:val="1"/>
          <w:color w:val="003366"/>
          <w:u w:val="single" w:color="003366"/>
          <w:rtl w:val="0"/>
          <w:lang w:val="ru-RU"/>
        </w:rPr>
        <w:t>:</w:t>
      </w:r>
    </w:p>
    <w:p>
      <w:pPr>
        <w:pStyle w:val="Normal.0"/>
      </w:pPr>
      <w:r>
        <w:drawing>
          <wp:inline distT="0" distB="0" distL="0" distR="0">
            <wp:extent cx="5395596" cy="5753683"/>
            <wp:effectExtent l="0" t="0" r="0" b="0"/>
            <wp:docPr id="1073741825" name="officeArt object" descr="_scroll_external/attachments/screenshot-2019-01-23-at-12-24-34-7f17a6d31085473882c0b30ffd4760e1ca43555b4b1a30cc8d92e3e5f6aac0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_scroll_external/attachments/screenshot-2019-01-23-at-12-24-34-7f17a6d31085473882c0b30ffd4760e1ca43555b4b1a30cc8d92e3e5f6aac0e3.png" descr="_scroll_external/attachments/screenshot-2019-01-23-at-12-24-34-7f17a6d31085473882c0b30ffd4760e1ca43555b4b1a30cc8d92e3e5f6aac0e3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5596" cy="575368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numPr>
          <w:ilvl w:val="0"/>
          <w:numId w:val="2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Логин продавца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логин </w:t>
      </w:r>
      <w:r>
        <w:rPr>
          <w:rtl w:val="0"/>
          <w:lang w:val="en-US"/>
        </w:rPr>
        <w:t>API</w:t>
      </w:r>
      <w:r>
        <w:rPr>
          <w:rtl w:val="0"/>
          <w:lang w:val="ru-RU"/>
        </w:rPr>
        <w:t xml:space="preserve"> пользователя в платежном шлюзе</w:t>
      </w:r>
      <w:r>
        <w:rPr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Пароль продавца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пароль </w:t>
      </w:r>
      <w:r>
        <w:rPr>
          <w:rtl w:val="0"/>
          <w:lang w:val="en-US"/>
        </w:rPr>
        <w:t>API</w:t>
      </w:r>
      <w:r>
        <w:rPr>
          <w:rtl w:val="0"/>
          <w:lang w:val="ru-RU"/>
        </w:rPr>
        <w:t xml:space="preserve"> пользователя в платежном шлюзе</w:t>
      </w:r>
      <w:r>
        <w:rPr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Режим работы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при тестовом режиме модуль взаимодействует с </w:t>
      </w:r>
      <w:r>
        <w:rPr>
          <w:rtl w:val="0"/>
          <w:lang w:val="en-US"/>
        </w:rPr>
        <w:t>UAT</w:t>
      </w:r>
      <w:r>
        <w:rPr>
          <w:rtl w:val="0"/>
          <w:lang w:val="ru-RU"/>
        </w:rPr>
        <w:t xml:space="preserve"> платежном шлюзе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 xml:space="preserve">при боевом 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 xml:space="preserve">с </w:t>
      </w:r>
      <w:r>
        <w:rPr>
          <w:rtl w:val="0"/>
          <w:lang w:val="en-US"/>
        </w:rPr>
        <w:t>PROD</w:t>
      </w:r>
      <w:r>
        <w:rPr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Стадийность платежа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одностадийные или двухстадийные платежи</w:t>
      </w:r>
      <w:r>
        <w:rPr>
          <w:rtl w:val="0"/>
          <w:lang w:val="ru-RU"/>
        </w:rPr>
        <w:t>;</w:t>
      </w:r>
    </w:p>
    <w:p>
      <w:pPr>
        <w:pStyle w:val="Normal.0"/>
        <w:numPr>
          <w:ilvl w:val="0"/>
          <w:numId w:val="2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Статус по умолчанию</w:t>
      </w:r>
      <w:r>
        <w:rPr>
          <w:b w:val="1"/>
          <w:bCs w:val="1"/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статус заказа после выбора способа оплаты</w:t>
      </w:r>
    </w:p>
    <w:p>
      <w:pPr>
        <w:pStyle w:val="Normal.0"/>
        <w:numPr>
          <w:ilvl w:val="0"/>
          <w:numId w:val="2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Статус оплаченного заказа</w:t>
      </w:r>
      <w:r>
        <w:rPr>
          <w:b w:val="1"/>
          <w:bCs w:val="1"/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статус заказа после выбора успешной оплаты</w:t>
      </w:r>
    </w:p>
    <w:p>
      <w:pPr>
        <w:pStyle w:val="Normal.0"/>
        <w:numPr>
          <w:ilvl w:val="0"/>
          <w:numId w:val="2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Статус ошибки</w:t>
      </w:r>
      <w:r>
        <w:rPr>
          <w:b w:val="1"/>
          <w:bCs w:val="1"/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статус заказа при ошибке оплаты</w:t>
      </w:r>
    </w:p>
    <w:p>
      <w:pPr>
        <w:pStyle w:val="Normal.0"/>
        <w:numPr>
          <w:ilvl w:val="0"/>
          <w:numId w:val="4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Система налогооблажения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доступны следующие значения</w:t>
      </w:r>
      <w:r>
        <w:rPr>
          <w:rtl w:val="0"/>
          <w:lang w:val="ru-RU"/>
        </w:rPr>
        <w:t>:</w:t>
      </w:r>
    </w:p>
    <w:p>
      <w:pPr>
        <w:pStyle w:val="Normal.0"/>
        <w:ind w:left="360" w:firstLine="0"/>
      </w:pPr>
      <w:r>
        <w:rPr>
          <w:rtl w:val="0"/>
          <w:lang w:val="ru-RU"/>
        </w:rPr>
        <w:t xml:space="preserve">0 - </w:t>
      </w:r>
      <w:r>
        <w:rPr>
          <w:rtl w:val="0"/>
          <w:lang w:val="ru-RU"/>
        </w:rPr>
        <w:t>общая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1 - </w:t>
      </w:r>
      <w:r>
        <w:rPr>
          <w:rtl w:val="0"/>
          <w:lang w:val="ru-RU"/>
        </w:rPr>
        <w:t>упрощённая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доход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2 - </w:t>
      </w:r>
      <w:r>
        <w:rPr>
          <w:rtl w:val="0"/>
          <w:lang w:val="ru-RU"/>
        </w:rPr>
        <w:t>упрощённая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доход минус расход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3 - </w:t>
      </w:r>
      <w:r>
        <w:rPr>
          <w:rtl w:val="0"/>
          <w:lang w:val="ru-RU"/>
        </w:rPr>
        <w:t>единый налог на вменённый доход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4 - </w:t>
      </w:r>
      <w:r>
        <w:rPr>
          <w:rtl w:val="0"/>
          <w:lang w:val="ru-RU"/>
        </w:rPr>
        <w:t>единый сельскохозяйственный налог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5 - </w:t>
      </w:r>
      <w:r>
        <w:rPr>
          <w:rtl w:val="0"/>
          <w:lang w:val="ru-RU"/>
        </w:rPr>
        <w:t>патентная система налогообложения</w:t>
      </w:r>
      <w:r>
        <w:rPr>
          <w:rtl w:val="0"/>
          <w:lang w:val="ru-RU"/>
        </w:rPr>
        <w:t>.</w:t>
      </w:r>
      <w:r>
        <w:rPr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lang w:val="ru-RU"/>
        </w:rPr>
        <w:br w:type="textWrapping"/>
      </w:r>
    </w:p>
    <w:p>
      <w:pPr>
        <w:pStyle w:val="Normal.0"/>
        <w:numPr>
          <w:ilvl w:val="0"/>
          <w:numId w:val="4"/>
        </w:numPr>
        <w:rPr>
          <w:lang w:val="ru-RU"/>
        </w:rPr>
      </w:pPr>
      <w:r>
        <w:rPr>
          <w:b w:val="1"/>
          <w:bCs w:val="1"/>
          <w:rtl w:val="0"/>
          <w:lang w:val="ru-RU"/>
        </w:rPr>
        <w:t>Ставка НДС</w:t>
      </w:r>
      <w:r>
        <w:rPr>
          <w:rtl w:val="0"/>
          <w:lang w:val="en-US"/>
        </w:rPr>
        <w:t> </w:t>
      </w:r>
      <w:r>
        <w:rPr>
          <w:rtl w:val="0"/>
          <w:lang w:val="ru-RU"/>
        </w:rPr>
        <w:t xml:space="preserve">- </w:t>
      </w:r>
      <w:r>
        <w:rPr>
          <w:rtl w:val="0"/>
          <w:lang w:val="ru-RU"/>
        </w:rPr>
        <w:t>доступны следующие значения</w:t>
      </w:r>
      <w:r>
        <w:rPr>
          <w:rtl w:val="0"/>
          <w:lang w:val="ru-RU"/>
        </w:rPr>
        <w:t>:</w:t>
      </w:r>
    </w:p>
    <w:p>
      <w:pPr>
        <w:pStyle w:val="Normal.0"/>
        <w:ind w:left="360" w:firstLine="0"/>
      </w:pPr>
      <w:r>
        <w:rPr>
          <w:rtl w:val="0"/>
          <w:lang w:val="ru-RU"/>
        </w:rPr>
        <w:t xml:space="preserve">0 </w:t>
      </w:r>
      <w:r>
        <w:rPr>
          <w:rtl w:val="0"/>
          <w:lang w:val="ru-RU"/>
        </w:rPr>
        <w:t>– без НДС</w:t>
      </w:r>
      <w:r>
        <w:rPr>
          <w:rtl w:val="0"/>
          <w:lang w:val="ru-RU"/>
        </w:rPr>
        <w:t>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1 </w:t>
      </w:r>
      <w:r>
        <w:rPr>
          <w:rtl w:val="0"/>
          <w:lang w:val="ru-RU"/>
        </w:rPr>
        <w:t xml:space="preserve">– НДС по ставке </w:t>
      </w:r>
      <w:r>
        <w:rPr>
          <w:rtl w:val="0"/>
          <w:lang w:val="ru-RU"/>
        </w:rPr>
        <w:t>0%;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2 </w:t>
      </w:r>
      <w:r>
        <w:rPr>
          <w:rtl w:val="0"/>
          <w:lang w:val="ru-RU"/>
        </w:rPr>
        <w:t xml:space="preserve">– НДС чека по ставке </w:t>
      </w:r>
      <w:r>
        <w:rPr>
          <w:rtl w:val="0"/>
          <w:lang w:val="ru-RU"/>
        </w:rPr>
        <w:t>10%;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3 </w:t>
      </w:r>
      <w:r>
        <w:rPr>
          <w:rtl w:val="0"/>
          <w:lang w:val="ru-RU"/>
        </w:rPr>
        <w:t xml:space="preserve">– НДС чека по ставке </w:t>
      </w:r>
      <w:r>
        <w:rPr>
          <w:rtl w:val="0"/>
          <w:lang w:val="ru-RU"/>
        </w:rPr>
        <w:t>18%;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4 </w:t>
      </w:r>
      <w:r>
        <w:rPr>
          <w:rtl w:val="0"/>
          <w:lang w:val="ru-RU"/>
        </w:rPr>
        <w:t xml:space="preserve">– НДС чека по расчетной ставке </w:t>
      </w:r>
      <w:r>
        <w:rPr>
          <w:rtl w:val="0"/>
          <w:lang w:val="ru-RU"/>
        </w:rPr>
        <w:t>10/110;</w:t>
      </w:r>
      <w:r>
        <w:rPr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5 </w:t>
      </w:r>
      <w:r>
        <w:rPr>
          <w:rtl w:val="0"/>
          <w:lang w:val="ru-RU"/>
        </w:rPr>
        <w:t xml:space="preserve">– НДС чека по расчетной ставке </w:t>
      </w:r>
      <w:r>
        <w:rPr>
          <w:rtl w:val="0"/>
          <w:lang w:val="ru-RU"/>
        </w:rPr>
        <w:t>18/118;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6 </w:t>
      </w:r>
      <w:r>
        <w:rPr>
          <w:rtl w:val="0"/>
          <w:lang w:val="ru-RU"/>
        </w:rPr>
        <w:t xml:space="preserve">– НДС чека по расчетной ставке </w:t>
      </w:r>
      <w:r>
        <w:rPr>
          <w:rtl w:val="0"/>
          <w:lang w:val="ru-RU"/>
        </w:rPr>
        <w:t>20%;</w:t>
      </w:r>
      <w:r>
        <w:rPr>
          <w:lang w:val="ru-RU"/>
        </w:rPr>
        <w:br w:type="textWrapping"/>
      </w:r>
      <w:r>
        <w:rPr>
          <w:rtl w:val="0"/>
          <w:lang w:val="ru-RU"/>
        </w:rPr>
        <w:t xml:space="preserve">7 </w:t>
      </w:r>
      <w:r>
        <w:rPr>
          <w:rtl w:val="0"/>
          <w:lang w:val="ru-RU"/>
        </w:rPr>
        <w:t xml:space="preserve">– НДС чека по расчетной ставке </w:t>
      </w:r>
      <w:r>
        <w:rPr>
          <w:rtl w:val="0"/>
          <w:lang w:val="ru-RU"/>
        </w:rPr>
        <w:t>20/120</w:t>
      </w:r>
    </w:p>
    <w:p>
      <w:pPr>
        <w:pStyle w:val="Normal.0"/>
        <w:numPr>
          <w:ilvl w:val="0"/>
          <w:numId w:val="4"/>
        </w:numPr>
        <w:rPr>
          <w:lang w:val="ru-RU"/>
        </w:rPr>
      </w:pPr>
      <w:r>
        <w:rPr>
          <w:b w:val="1"/>
          <w:bCs w:val="1"/>
          <w:color w:val="545454"/>
          <w:u w:color="545454"/>
          <w:rtl w:val="0"/>
          <w:lang w:val="ru-RU"/>
        </w:rPr>
        <w:t>Формат фискальных документов</w:t>
      </w:r>
      <w:r>
        <w:rPr>
          <w:b w:val="1"/>
          <w:bCs w:val="1"/>
          <w:color w:val="545454"/>
          <w:u w:color="545454"/>
          <w:rtl w:val="0"/>
          <w:lang w:val="en-US"/>
        </w:rPr>
        <w:t>  </w:t>
      </w:r>
      <w:r>
        <w:rPr>
          <w:b w:val="1"/>
          <w:bCs w:val="1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i w:val="1"/>
          <w:iCs w:val="1"/>
          <w:color w:val="ff0000"/>
          <w:u w:color="ff0000"/>
          <w:rtl w:val="0"/>
          <w:lang w:val="ru-RU"/>
        </w:rPr>
        <w:t>ВАЖНО</w:t>
      </w:r>
      <w:r>
        <w:rPr>
          <w:i w:val="1"/>
          <w:iCs w:val="1"/>
          <w:color w:val="ff0000"/>
          <w:u w:color="ff0000"/>
          <w:rtl w:val="0"/>
          <w:lang w:val="ru-RU"/>
        </w:rPr>
        <w:t xml:space="preserve">! </w:t>
      </w:r>
      <w:r>
        <w:rPr>
          <w:i w:val="1"/>
          <w:iCs w:val="1"/>
          <w:color w:val="ff0000"/>
          <w:u w:color="ff0000"/>
          <w:rtl w:val="0"/>
          <w:lang w:val="ru-RU"/>
        </w:rPr>
        <w:t>Формат версии требуется указать в личном кабинете банка и в кабинете сервиса фискализации</w:t>
      </w:r>
      <w:r>
        <w:rPr>
          <w:i w:val="1"/>
          <w:iCs w:val="1"/>
          <w:color w:val="ff0000"/>
          <w:u w:color="ff0000"/>
          <w:rtl w:val="0"/>
          <w:lang w:val="ru-RU"/>
        </w:rPr>
        <w:t>.</w:t>
      </w:r>
      <w:r>
        <w:rPr>
          <w:color w:val="ff0000"/>
          <w:u w:color="ff0000"/>
          <w:rtl w:val="0"/>
          <w:lang w:val="en-US"/>
        </w:rPr>
        <w:t> </w:t>
      </w:r>
      <w:r>
        <w:rPr>
          <w:color w:val="545454"/>
          <w:u w:color="545454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i w:val="1"/>
          <w:iCs w:val="1"/>
          <w:color w:val="ff0000"/>
          <w:u w:color="ff0000"/>
          <w:lang w:val="ru-RU"/>
        </w:rPr>
        <w:br w:type="textWrapping"/>
      </w:r>
    </w:p>
    <w:p>
      <w:pPr>
        <w:pStyle w:val="Normal.0"/>
        <w:numPr>
          <w:ilvl w:val="0"/>
          <w:numId w:val="4"/>
        </w:numPr>
        <w:rPr>
          <w:lang w:val="ru-RU"/>
        </w:rPr>
      </w:pPr>
      <w:r>
        <w:rPr>
          <w:b w:val="1"/>
          <w:bCs w:val="1"/>
          <w:i w:val="1"/>
          <w:iCs w:val="1"/>
          <w:color w:val="545454"/>
          <w:u w:color="545454"/>
          <w:rtl w:val="0"/>
          <w:lang w:val="ru-RU"/>
        </w:rPr>
        <w:t>Тип оплаты</w:t>
      </w:r>
      <w:r>
        <w:rPr>
          <w:b w:val="1"/>
          <w:bCs w:val="1"/>
          <w:i w:val="1"/>
          <w:iCs w:val="1"/>
          <w:color w:val="545454"/>
          <w:u w:color="545454"/>
          <w:rtl w:val="0"/>
          <w:lang w:val="en-US"/>
        </w:rPr>
        <w:t> </w:t>
      </w:r>
      <w:r>
        <w:rPr>
          <w:b w:val="1"/>
          <w:bCs w:val="1"/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b w:val="1"/>
          <w:bCs w:val="1"/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i w:val="1"/>
          <w:iCs w:val="1"/>
          <w:color w:val="ff0000"/>
          <w:u w:color="ff0000"/>
          <w:rtl w:val="0"/>
          <w:lang w:val="ru-RU"/>
        </w:rPr>
        <w:t xml:space="preserve">Используется в версих ФФД начиная с </w:t>
      </w:r>
      <w:r>
        <w:rPr>
          <w:i w:val="1"/>
          <w:iCs w:val="1"/>
          <w:color w:val="ff0000"/>
          <w:u w:color="ff0000"/>
          <w:rtl w:val="0"/>
          <w:lang w:val="ru-RU"/>
        </w:rPr>
        <w:t>1.05</w:t>
      </w:r>
      <w:r>
        <w:rPr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b w:val="1"/>
          <w:bCs w:val="1"/>
          <w:i w:val="1"/>
          <w:iCs w:val="1"/>
          <w:color w:val="ff0000"/>
          <w:u w:color="ff0000"/>
          <w:lang w:val="ru-RU"/>
        </w:rPr>
        <w:br w:type="textWrapping"/>
      </w:r>
    </w:p>
    <w:p>
      <w:pPr>
        <w:pStyle w:val="Normal.0"/>
        <w:numPr>
          <w:ilvl w:val="0"/>
          <w:numId w:val="4"/>
        </w:numPr>
        <w:rPr>
          <w:lang w:val="ru-RU"/>
        </w:rPr>
      </w:pPr>
      <w:r>
        <w:rPr>
          <w:b w:val="1"/>
          <w:bCs w:val="1"/>
          <w:i w:val="1"/>
          <w:iCs w:val="1"/>
          <w:color w:val="545454"/>
          <w:u w:color="545454"/>
          <w:rtl w:val="0"/>
          <w:lang w:val="ru-RU"/>
        </w:rPr>
        <w:t>Тип оплачиваемой позиции</w:t>
      </w:r>
      <w:r>
        <w:rPr>
          <w:b w:val="1"/>
          <w:bCs w:val="1"/>
          <w:i w:val="1"/>
          <w:iCs w:val="1"/>
          <w:color w:val="545454"/>
          <w:u w:color="545454"/>
          <w:rtl w:val="0"/>
          <w:lang w:val="en-US"/>
        </w:rPr>
        <w:t> </w:t>
      </w:r>
      <w:r>
        <w:rPr>
          <w:b w:val="1"/>
          <w:bCs w:val="1"/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b w:val="1"/>
          <w:bCs w:val="1"/>
          <w:color w:val="ff0000"/>
          <w:u w:color="ff0000"/>
          <w:rtl w:val="0"/>
          <w:lang w:val="en-US"/>
        </w:rPr>
        <w:t> </w:t>
      </w:r>
      <w:r>
        <w:rPr>
          <w:lang w:val="ru-RU"/>
        </w:rPr>
        <w:br w:type="textWrapping"/>
      </w:r>
      <w:r>
        <w:rPr>
          <w:i w:val="1"/>
          <w:iCs w:val="1"/>
          <w:color w:val="ff0000"/>
          <w:u w:color="ff0000"/>
          <w:rtl w:val="0"/>
          <w:lang w:val="ru-RU"/>
        </w:rPr>
        <w:t xml:space="preserve">Используется в версих ФФД начиная с </w:t>
      </w:r>
      <w:r>
        <w:rPr>
          <w:i w:val="1"/>
          <w:iCs w:val="1"/>
          <w:color w:val="ff0000"/>
          <w:u w:color="ff0000"/>
          <w:rtl w:val="0"/>
          <w:lang w:val="ru-RU"/>
        </w:rPr>
        <w:t>1.05</w:t>
      </w:r>
      <w:r>
        <w:rPr>
          <w:i w:val="1"/>
          <w:iCs w:val="1"/>
          <w:color w:val="ff0000"/>
          <w:u w:color="ff0000"/>
          <w:rtl w:val="0"/>
          <w:lang w:val="en-US"/>
        </w:rPr>
        <w:t> </w:t>
      </w:r>
      <w:r>
        <w:rPr>
          <w:color w:val="ff0000"/>
          <w:u w:color="ff0000"/>
          <w:lang w:val="ru-RU"/>
        </w:rPr>
        <w:br w:type="textWrapping"/>
      </w:r>
      <w:r/>
    </w:p>
    <w:sectPr>
      <w:headerReference w:type="default" r:id="rId5"/>
      <w:footerReference w:type="default" r:id="rId6"/>
      <w:pgSz w:w="11900" w:h="16840" w:orient="portrait"/>
      <w:pgMar w:top="1440" w:right="1701" w:bottom="1440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2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478"/>
        <w:tab w:val="clear" w:pos="9072"/>
      </w:tabs>
      <w:jc w:val="right"/>
    </w:pPr>
    <w:r>
      <w:rPr>
        <w:sz w:val="18"/>
        <w:szCs w:val="18"/>
        <w:rtl w:val="0"/>
        <w:lang w:val="en-US"/>
      </w:rPr>
      <w:t xml:space="preserve">Alfabank </w:t>
    </w:r>
    <w:r>
      <w:rPr>
        <w:sz w:val="18"/>
        <w:szCs w:val="18"/>
        <w:rtl w:val="0"/>
        <w:lang w:val="en-US"/>
      </w:rPr>
      <w:t xml:space="preserve">– </w:t>
    </w:r>
    <w:r>
      <w:rPr>
        <w:sz w:val="18"/>
        <w:szCs w:val="18"/>
        <w:rtl w:val="0"/>
        <w:lang w:val="en-US"/>
      </w:rPr>
      <w:t>PrestaShop 1.5.x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284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righ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en-US"/>
    </w:rPr>
  </w:style>
  <w:style w:type="paragraph" w:styleId="heading 1">
    <w:name w:val="heading 1"/>
    <w:next w:val="Normal.0"/>
    <w:pPr>
      <w:keepNext w:val="1"/>
      <w:keepLines w:val="0"/>
      <w:pageBreakBefore w:val="0"/>
      <w:widowControl w:val="1"/>
      <w:shd w:val="clear" w:color="auto" w:fill="auto"/>
      <w:tabs>
        <w:tab w:val="left" w:pos="567"/>
      </w:tabs>
      <w:suppressAutoHyphens w:val="0"/>
      <w:bidi w:val="0"/>
      <w:spacing w:before="600" w:after="240" w:line="240" w:lineRule="auto"/>
      <w:ind w:left="0" w:right="0" w:firstLine="0"/>
      <w:jc w:val="left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404040"/>
      <w:spacing w:val="0"/>
      <w:kern w:val="32"/>
      <w:position w:val="0"/>
      <w:sz w:val="32"/>
      <w:szCs w:val="32"/>
      <w:u w:val="none" w:color="404040"/>
      <w:vertAlign w:val="baseline"/>
      <w:lang w:val="en-US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