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shd w:val="clear" w:color="auto" w:fill="ffffff"/>
        <w:spacing w:before="450" w:after="0" w:line="240" w:lineRule="auto"/>
        <w:outlineLvl w:val="0"/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</w:rPr>
      </w:pPr>
      <w:r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  <w:rtl w:val="0"/>
          <w:lang w:val="ru-RU"/>
        </w:rPr>
        <w:t>Установка плагина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Разместить содержимое папки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upload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на хостинг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где установлена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CMS;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Запустить файл 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en-US"/>
        </w:rPr>
        <w:t>alfa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payment_install.php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в корневой папке сайта из обозревателя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shd w:val="clear" w:color="auto" w:fill="ffffff"/>
        <w:spacing w:before="450" w:after="0" w:line="240" w:lineRule="auto"/>
        <w:outlineLvl w:val="0"/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</w:rPr>
      </w:pPr>
      <w:r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  <w:rtl w:val="0"/>
          <w:lang w:val="ru-RU"/>
        </w:rPr>
        <w:t>Настройка плагина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</w:rPr>
        <mc:AlternateContent>
          <mc:Choice Requires="wps">
            <w:drawing>
              <wp:inline distT="0" distB="0" distL="0" distR="0">
                <wp:extent cx="5943600" cy="19050"/>
                <wp:effectExtent l="0" t="0" r="0" b="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050"/>
                        </a:xfrm>
                        <a:prstGeom prst="rect">
                          <a:avLst/>
                        </a:prstGeom>
                        <a:solidFill>
                          <a:srgbClr val="172B4D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6" style="visibility:visible;width:468.0pt;height:1.5pt;">
                <v:fill color="#172B4D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>
      <w:pPr>
        <w:pStyle w:val="Normal.0"/>
        <w:numPr>
          <w:ilvl w:val="0"/>
          <w:numId w:val="4"/>
        </w:numPr>
        <w:shd w:val="clear" w:color="auto" w:fill="ffffff"/>
        <w:bidi w:val="0"/>
        <w:spacing w:after="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В административной панели магазина зайти в 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 xml:space="preserve">Модули 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 xml:space="preserve">-&gt; 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Интернет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-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 xml:space="preserve">магазин 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 xml:space="preserve">-&gt; 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 xml:space="preserve">Оплата 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 xml:space="preserve">-&gt; 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 xml:space="preserve">Добавить способ оплаты 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-&gt;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en-US"/>
        </w:rPr>
        <w:t xml:space="preserve"> ALFA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Payment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и заполнить следующие поля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:</w:t>
      </w:r>
    </w:p>
    <w:p>
      <w:pPr>
        <w:pStyle w:val="Normal.0"/>
        <w:numPr>
          <w:ilvl w:val="0"/>
          <w:numId w:val="6"/>
        </w:numPr>
        <w:shd w:val="clear" w:color="auto" w:fill="ffffff"/>
        <w:bidi w:val="0"/>
        <w:spacing w:after="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Логин мерчанта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numPr>
          <w:ilvl w:val="0"/>
          <w:numId w:val="6"/>
        </w:numPr>
        <w:shd w:val="clear" w:color="auto" w:fill="ffffff"/>
        <w:bidi w:val="0"/>
        <w:spacing w:after="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Пароль мерчанта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numPr>
          <w:ilvl w:val="0"/>
          <w:numId w:val="6"/>
        </w:numPr>
        <w:shd w:val="clear" w:color="auto" w:fill="ffffff"/>
        <w:bidi w:val="0"/>
        <w:spacing w:after="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Стадийность платежа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numPr>
          <w:ilvl w:val="0"/>
          <w:numId w:val="6"/>
        </w:numPr>
        <w:shd w:val="clear" w:color="auto" w:fill="ffffff"/>
        <w:bidi w:val="0"/>
        <w:spacing w:after="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Тестовый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/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рабочий режим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использование тестового или боевого платежных шлюзов</w:t>
      </w:r>
    </w:p>
    <w:p>
      <w:pPr>
        <w:pStyle w:val="Normal.0"/>
        <w:numPr>
          <w:ilvl w:val="0"/>
          <w:numId w:val="6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Передачу товарной корзины</w:t>
      </w:r>
    </w:p>
    <w:p>
      <w:pPr>
        <w:pStyle w:val="Normal.0"/>
        <w:numPr>
          <w:ilvl w:val="0"/>
          <w:numId w:val="6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Логирование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будет создан лог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-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файл с запросами о ответами от платежного шлюза</w:t>
      </w:r>
    </w:p>
    <w:p>
      <w:pPr>
        <w:pStyle w:val="Normal.0"/>
      </w:pPr>
    </w:p>
    <w:tbl>
      <w:tblPr>
        <w:tblW w:w="9631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194"/>
        <w:gridCol w:w="1766"/>
        <w:gridCol w:w="5671"/>
      </w:tblGrid>
      <w:tr>
        <w:tblPrEx>
          <w:shd w:val="clear" w:color="auto" w:fill="5b9bd5"/>
        </w:tblPrEx>
        <w:trPr>
          <w:trHeight w:val="535" w:hRule="atLeast"/>
          <w:tblHeader/>
        </w:trPr>
        <w:tc>
          <w:tcPr>
            <w:tcW w:type="dxa" w:w="2194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4f5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имя поля</w:t>
            </w:r>
          </w:p>
        </w:tc>
        <w:tc>
          <w:tcPr>
            <w:tcW w:type="dxa" w:w="176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4f5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возможные значения</w:t>
            </w:r>
          </w:p>
        </w:tc>
        <w:tc>
          <w:tcPr>
            <w:tcW w:type="dxa" w:w="5670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4f5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описание</w:t>
            </w:r>
          </w:p>
        </w:tc>
      </w:tr>
      <w:tr>
        <w:tblPrEx>
          <w:shd w:val="clear" w:color="auto" w:fill="d0ddef"/>
        </w:tblPrEx>
        <w:trPr>
          <w:trHeight w:val="1205" w:hRule="atLeast"/>
        </w:trPr>
        <w:tc>
          <w:tcPr>
            <w:tcW w:type="dxa" w:w="2194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Формат фискальных документов</w:t>
            </w:r>
          </w:p>
        </w:tc>
        <w:tc>
          <w:tcPr>
            <w:tcW w:type="dxa" w:w="176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v100 / v105</w:t>
            </w:r>
          </w:p>
        </w:tc>
        <w:tc>
          <w:tcPr>
            <w:tcW w:type="dxa" w:w="5670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</w:rPr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формат фискальных документов</w:t>
            </w:r>
          </w:p>
          <w:p>
            <w:pPr>
              <w:pStyle w:val="Normal.0"/>
              <w:bidi w:val="0"/>
              <w:spacing w:before="150"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Segoe UI" w:cs="Segoe UI" w:hAnsi="Segoe UI" w:eastAsia="Segoe UI"/>
                <w:color w:val="ff0000"/>
                <w:sz w:val="21"/>
                <w:szCs w:val="21"/>
                <w:u w:color="ff0000"/>
                <w:rtl w:val="0"/>
                <w:lang w:val="ru-RU"/>
              </w:rPr>
              <w:t>ВАЖНО</w:t>
            </w:r>
            <w:r>
              <w:rPr>
                <w:rFonts w:ascii="Segoe UI" w:cs="Segoe UI" w:hAnsi="Segoe UI" w:eastAsia="Segoe UI"/>
                <w:color w:val="ff0000"/>
                <w:sz w:val="21"/>
                <w:szCs w:val="21"/>
                <w:u w:color="ff0000"/>
                <w:rtl w:val="0"/>
                <w:lang w:val="ru-RU"/>
              </w:rPr>
              <w:t>!</w:t>
            </w:r>
            <w:r>
              <w:rPr>
                <w:rFonts w:ascii="Segoe UI" w:cs="Segoe UI" w:hAnsi="Segoe UI" w:eastAsia="Segoe UI"/>
                <w:color w:val="ff0000"/>
                <w:sz w:val="21"/>
                <w:szCs w:val="21"/>
                <w:u w:color="ff0000"/>
                <w:rtl w:val="0"/>
                <w:lang w:val="ru-RU"/>
              </w:rPr>
              <w:t>Формат версии требуется указать в личном кабинете банка и в кабинете сервиса фискализации</w:t>
            </w:r>
            <w:r>
              <w:rPr>
                <w:rFonts w:ascii="Segoe UI" w:cs="Segoe UI" w:hAnsi="Segoe UI" w:eastAsia="Segoe UI"/>
                <w:color w:val="ff0000"/>
                <w:sz w:val="21"/>
                <w:szCs w:val="21"/>
                <w:u w:color="ff0000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d0ddef"/>
        </w:tblPrEx>
        <w:trPr>
          <w:trHeight w:val="2845" w:hRule="atLeast"/>
        </w:trPr>
        <w:tc>
          <w:tcPr>
            <w:tcW w:type="dxa" w:w="2194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Тип оплачиваемой позиции</w:t>
            </w:r>
          </w:p>
        </w:tc>
        <w:tc>
          <w:tcPr>
            <w:tcW w:type="dxa" w:w="176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1 .. 13</w:t>
            </w:r>
          </w:p>
        </w:tc>
        <w:tc>
          <w:tcPr>
            <w:tcW w:type="dxa" w:w="5670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</w:rPr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Используется в версих ФФД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 xml:space="preserve">, 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 xml:space="preserve">начиная с 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1.05</w:t>
            </w:r>
          </w:p>
          <w:p>
            <w:pPr>
              <w:pStyle w:val="Normal.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  <w:bidi w:val="0"/>
              <w:spacing w:before="150"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Товар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'2'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Подакцизный товар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'3'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Работа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'4'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Услуга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'5'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Ставка азартной игры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808080"/>
                <w:sz w:val="20"/>
                <w:szCs w:val="20"/>
                <w:u w:color="808080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'7'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Лотерейный билет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808080"/>
                <w:sz w:val="20"/>
                <w:szCs w:val="20"/>
                <w:u w:color="808080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'9'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Предоставление РИД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'10'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Платёж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'11'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Агентское вознаграждение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'12'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Составной предмет расчёта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'13'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Иной предмет расчёта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</w:p>
        </w:tc>
      </w:tr>
      <w:tr>
        <w:tblPrEx>
          <w:shd w:val="clear" w:color="auto" w:fill="d0ddef"/>
        </w:tblPrEx>
        <w:trPr>
          <w:trHeight w:val="3725" w:hRule="atLeast"/>
        </w:trPr>
        <w:tc>
          <w:tcPr>
            <w:tcW w:type="dxa" w:w="2194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Тип оплаты</w:t>
            </w:r>
          </w:p>
        </w:tc>
        <w:tc>
          <w:tcPr>
            <w:tcW w:type="dxa" w:w="176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1 .. 7</w:t>
            </w:r>
          </w:p>
        </w:tc>
        <w:tc>
          <w:tcPr>
            <w:tcW w:type="dxa" w:w="5670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</w:rPr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Используется в версих ФФД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 xml:space="preserve">, 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 xml:space="preserve">начиная с 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1.05</w:t>
            </w:r>
          </w:p>
          <w:p>
            <w:pPr>
              <w:pStyle w:val="Normal.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  <w:bidi w:val="0"/>
              <w:spacing w:before="150"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Полная предварительная оплата до момента передачи предмета расчёта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'2'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Частичная предварительная оплата до момента передачи предмета расчёта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'3'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Аванс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'4'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Полная оплата в момент передачи предмета расчёта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'5'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Частичная оплата предмета расчёта в момент его передачи с последующей оплатой в кредит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'6'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Передача предмета расчёта без его оплаты в момент его передачи с последующей оплатой в кредит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'7'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Оплата предмета расчёта после его передачи с оплатой в кредит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</w:p>
        </w:tc>
      </w:tr>
      <w:tr>
        <w:tblPrEx>
          <w:shd w:val="clear" w:color="auto" w:fill="d0ddef"/>
        </w:tblPrEx>
        <w:trPr>
          <w:trHeight w:val="535" w:hRule="atLeast"/>
        </w:trPr>
        <w:tc>
          <w:tcPr>
            <w:tcW w:type="dxa" w:w="2194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Тестовый режим</w:t>
            </w:r>
          </w:p>
        </w:tc>
        <w:tc>
          <w:tcPr>
            <w:tcW w:type="dxa" w:w="176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yes / no</w:t>
            </w:r>
          </w:p>
        </w:tc>
        <w:tc>
          <w:tcPr>
            <w:tcW w:type="dxa" w:w="5670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режим отладки для проведения тестовых платежей</w:t>
            </w:r>
          </w:p>
        </w:tc>
      </w:tr>
      <w:tr>
        <w:tblPrEx>
          <w:shd w:val="clear" w:color="auto" w:fill="d0ddef"/>
        </w:tblPrEx>
        <w:trPr>
          <w:trHeight w:val="1745" w:hRule="atLeast"/>
        </w:trPr>
        <w:tc>
          <w:tcPr>
            <w:tcW w:type="dxa" w:w="2194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Система налогообложения</w:t>
            </w:r>
          </w:p>
        </w:tc>
        <w:tc>
          <w:tcPr>
            <w:tcW w:type="dxa" w:w="176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  <w:spacing w:after="0" w:line="240" w:lineRule="auto"/>
            </w:pP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>0..5</w:t>
            </w:r>
          </w:p>
        </w:tc>
        <w:tc>
          <w:tcPr>
            <w:tcW w:type="dxa" w:w="5670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</w:rPr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система налогообложения</w:t>
            </w:r>
          </w:p>
          <w:p>
            <w:pPr>
              <w:pStyle w:val="Normal.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  <w:bidi w:val="0"/>
              <w:spacing w:before="150"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'0'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-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Общая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cs="Courier New" w:hAnsi="Courier New" w:eastAsia="Courier New"/>
                <w:color w:val="6a8759"/>
                <w:sz w:val="20"/>
                <w:szCs w:val="20"/>
                <w:u w:color="6a8759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-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Упрощённая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, 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доход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cs="Courier New" w:hAnsi="Courier New" w:eastAsia="Courier New"/>
                <w:color w:val="6a8759"/>
                <w:sz w:val="20"/>
                <w:szCs w:val="20"/>
                <w:u w:color="6a8759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'2'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-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Упрощённая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, 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доход минус расход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cs="Courier New" w:hAnsi="Courier New" w:eastAsia="Courier New"/>
                <w:color w:val="6a8759"/>
                <w:sz w:val="20"/>
                <w:szCs w:val="20"/>
                <w:u w:color="6a8759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'3'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-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'E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диный налог на вмененный доход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cs="Courier New" w:hAnsi="Courier New" w:eastAsia="Courier New"/>
                <w:color w:val="6a8759"/>
                <w:sz w:val="20"/>
                <w:szCs w:val="20"/>
                <w:u w:color="6a8759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'4'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-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'E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диный сельскохозяйственный налог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cs="Courier New" w:hAnsi="Courier New" w:eastAsia="Courier New"/>
                <w:color w:val="6a8759"/>
                <w:sz w:val="20"/>
                <w:szCs w:val="20"/>
                <w:u w:color="6a8759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'5'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-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Патентная система налогообложения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</w:p>
        </w:tc>
      </w:tr>
      <w:tr>
        <w:tblPrEx>
          <w:shd w:val="clear" w:color="auto" w:fill="d0ddef"/>
        </w:tblPrEx>
        <w:trPr>
          <w:trHeight w:val="535" w:hRule="atLeast"/>
        </w:trPr>
        <w:tc>
          <w:tcPr>
            <w:tcW w:type="dxa" w:w="2194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Передача данных чека</w:t>
            </w:r>
          </w:p>
        </w:tc>
        <w:tc>
          <w:tcPr>
            <w:tcW w:type="dxa" w:w="176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yes / no</w:t>
            </w:r>
          </w:p>
        </w:tc>
        <w:tc>
          <w:tcPr>
            <w:tcW w:type="dxa" w:w="5670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отправлять данные заказа на шлюз для фискализации</w:t>
            </w:r>
          </w:p>
        </w:tc>
      </w:tr>
      <w:tr>
        <w:tblPrEx>
          <w:shd w:val="clear" w:color="auto" w:fill="d0ddef"/>
        </w:tblPrEx>
        <w:trPr>
          <w:trHeight w:val="275" w:hRule="atLeast"/>
        </w:trPr>
        <w:tc>
          <w:tcPr>
            <w:tcW w:type="dxa" w:w="2194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Пароль</w:t>
            </w:r>
          </w:p>
        </w:tc>
        <w:tc>
          <w:tcPr>
            <w:tcW w:type="dxa" w:w="176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670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пароль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 xml:space="preserve">, 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выданный банком</w:t>
            </w:r>
          </w:p>
        </w:tc>
      </w:tr>
      <w:tr>
        <w:tblPrEx>
          <w:shd w:val="clear" w:color="auto" w:fill="d0ddef"/>
        </w:tblPrEx>
        <w:trPr>
          <w:trHeight w:val="275" w:hRule="atLeast"/>
        </w:trPr>
        <w:tc>
          <w:tcPr>
            <w:tcW w:type="dxa" w:w="2194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Логин</w:t>
            </w:r>
          </w:p>
        </w:tc>
        <w:tc>
          <w:tcPr>
            <w:tcW w:type="dxa" w:w="176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670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логин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 xml:space="preserve">-api, 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выданный банком</w:t>
            </w:r>
          </w:p>
        </w:tc>
      </w:tr>
      <w:tr>
        <w:tblPrEx>
          <w:shd w:val="clear" w:color="auto" w:fill="d0ddef"/>
        </w:tblPrEx>
        <w:trPr>
          <w:trHeight w:val="535" w:hRule="atLeast"/>
        </w:trPr>
        <w:tc>
          <w:tcPr>
            <w:tcW w:type="dxa" w:w="2194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Двухстадийные платежи</w:t>
            </w:r>
          </w:p>
        </w:tc>
        <w:tc>
          <w:tcPr>
            <w:tcW w:type="dxa" w:w="176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yes / no</w:t>
            </w:r>
          </w:p>
        </w:tc>
        <w:tc>
          <w:tcPr>
            <w:tcW w:type="dxa" w:w="5670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535" w:hRule="atLeast"/>
        </w:trPr>
        <w:tc>
          <w:tcPr>
            <w:tcW w:type="dxa" w:w="2194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Включить логирование</w:t>
            </w:r>
          </w:p>
        </w:tc>
        <w:tc>
          <w:tcPr>
            <w:tcW w:type="dxa" w:w="176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yes</w:t>
            </w:r>
          </w:p>
        </w:tc>
        <w:tc>
          <w:tcPr>
            <w:tcW w:type="dxa" w:w="5670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вести логирование запросов платежного шлюза</w:t>
            </w:r>
          </w:p>
        </w:tc>
      </w:tr>
    </w:tbl>
    <w:p>
      <w:pPr>
        <w:pStyle w:val="Normal.0"/>
        <w:widowControl w:val="0"/>
        <w:spacing w:line="240" w:lineRule="auto"/>
      </w:pPr>
      <w:r/>
    </w:p>
    <w:sectPr>
      <w:headerReference w:type="default" r:id="rId4"/>
      <w:footerReference w:type="default" r:id="rId5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Segoe UI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tabs>
          <w:tab w:val="left" w:pos="72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decimal"/>
      <w:suff w:val="tab"/>
      <w:lvlText w:val="%1."/>
      <w:lvlJc w:val="left"/>
      <w:pPr>
        <w:tabs>
          <w:tab w:val="left" w:pos="72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bullet"/>
      <w:suff w:val="tab"/>
      <w:lvlText w:val="·"/>
      <w:lvlJc w:val="left"/>
      <w:pPr>
        <w:tabs>
          <w:tab w:val="left" w:pos="72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720"/>
        </w:tabs>
        <w:ind w:left="14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">
    <w:name w:val="Колонтитул"/>
    <w:next w:val="Колонтитул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