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shd w:val="clear" w:color="auto" w:fill="ffffff"/>
        <w:spacing w:before="450" w:after="0" w:line="240" w:lineRule="auto"/>
        <w:outlineLvl w:val="0"/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</w:rPr>
      </w:pPr>
      <w:r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  <w:rtl w:val="0"/>
          <w:lang w:val="ru-RU"/>
        </w:rPr>
        <w:t>Установка платежного модуля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mc:AlternateContent>
          <mc:Choice Requires="wps">
            <w:drawing>
              <wp:inline distT="0" distB="0" distL="0" distR="0">
                <wp:extent cx="5943600" cy="19050"/>
                <wp:effectExtent l="0" t="0" r="0" 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050"/>
                        </a:xfrm>
                        <a:prstGeom prst="rect">
                          <a:avLst/>
                        </a:prstGeom>
                        <a:solidFill>
                          <a:srgbClr val="172B4D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6" style="visibility:visible;width:468.0pt;height:1.5pt;">
                <v:fill color="#172B4D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 xml:space="preserve">1) 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 xml:space="preserve">Разместить содержимое архива в папку где установлен сайт 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netcat "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i w:val="1"/>
          <w:iCs w:val="1"/>
          <w:color w:val="0000ff"/>
          <w:sz w:val="21"/>
          <w:szCs w:val="21"/>
          <w:u w:color="0000ff"/>
          <w:rtl w:val="0"/>
          <w:lang w:val="ru-RU"/>
        </w:rPr>
        <w:t>сайт</w:t>
      </w:r>
      <w:r>
        <w:rPr>
          <w:rFonts w:ascii="Segoe UI" w:cs="Segoe UI" w:hAnsi="Segoe UI" w:eastAsia="Segoe UI"/>
          <w:i w:val="1"/>
          <w:iCs w:val="1"/>
          <w:color w:val="0000ff"/>
          <w:sz w:val="21"/>
          <w:szCs w:val="21"/>
          <w:u w:color="0000ff"/>
          <w:rtl w:val="0"/>
          <w:lang w:val="ru-RU"/>
        </w:rPr>
        <w:t>/netcat/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"</w: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000000"/>
          <w:sz w:val="21"/>
          <w:szCs w:val="21"/>
          <w:u w:color="000000"/>
          <w:rtl w:val="0"/>
          <w:lang w:val="ru-RU"/>
        </w:rPr>
        <w:t xml:space="preserve">2)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rtl w:val="0"/>
          <w:lang w:val="ru-RU"/>
        </w:rPr>
        <w:t>Затем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rtl w:val="0"/>
          <w:lang w:val="ru-RU"/>
        </w:rPr>
        <w:t>административном интерфейсе сайта переходим в раздел списки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rtl w:val="0"/>
          <w:lang w:val="ru-RU"/>
        </w:rPr>
        <w:t>:</w:t>
      </w:r>
    </w:p>
    <w:p>
      <w:pPr>
        <w:pStyle w:val="Normal.0"/>
      </w:pPr>
      <w:r>
        <w:drawing>
          <wp:inline distT="0" distB="0" distL="0" distR="0">
            <wp:extent cx="2638425" cy="3381375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33813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</w:rPr>
      </w:pP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 xml:space="preserve">3)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 xml:space="preserve">Далее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"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прием платежей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":</w:t>
      </w:r>
    </w:p>
    <w:p>
      <w:pPr>
        <w:pStyle w:val="Normal.0"/>
      </w:pPr>
      <w:r>
        <w:drawing>
          <wp:inline distT="0" distB="0" distL="0" distR="0">
            <wp:extent cx="5936615" cy="352199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35219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</w:pP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 xml:space="preserve">4)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 xml:space="preserve">Добавляем новый элемент с произвольным названием платежной системы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(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 xml:space="preserve">в данном примере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"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 xml:space="preserve">Оплата картой банка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(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en-US"/>
        </w:rPr>
        <w:t>ALFA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Payment)")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  и дополнительным значением „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nc_payment_system_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en-US"/>
        </w:rPr>
        <w:t>alfa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payment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“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.</w:t>
      </w:r>
    </w:p>
    <w:p>
      <w:pPr>
        <w:pStyle w:val="Normal.0"/>
      </w:pP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 xml:space="preserve">5)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 xml:space="preserve">Далее в разделе Настройки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 xml:space="preserve">=&gt;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Приём платежей у нас появится новая платёжная система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:</w:t>
      </w:r>
    </w:p>
    <w:p>
      <w:pPr>
        <w:pStyle w:val="Normal.0"/>
      </w:pP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 xml:space="preserve">6) 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Нажимаем на шестеренку и вносим данные</w:t>
      </w:r>
      <w:r>
        <w:rPr>
          <w:rFonts w:ascii="Segoe UI" w:cs="Segoe UI" w:hAnsi="Segoe UI" w:eastAsia="Segoe UI"/>
          <w:color w:val="000000"/>
          <w:sz w:val="21"/>
          <w:szCs w:val="21"/>
          <w:u w:color="000000"/>
          <w:shd w:val="clear" w:color="auto" w:fill="ffffff"/>
          <w:rtl w:val="0"/>
          <w:lang w:val="ru-RU"/>
        </w:rPr>
        <w:t>: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33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52"/>
        <w:gridCol w:w="1811"/>
        <w:gridCol w:w="4676"/>
      </w:tblGrid>
      <w:tr>
        <w:tblPrEx>
          <w:shd w:val="clear" w:color="auto" w:fill="5b9bd5"/>
        </w:tblPrEx>
        <w:trPr>
          <w:trHeight w:val="535" w:hRule="atLeast"/>
          <w:tblHeader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4f5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имя поля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4f5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возможные значения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4f5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описание</w:t>
            </w:r>
          </w:p>
        </w:tc>
      </w:tr>
      <w:tr>
        <w:tblPrEx>
          <w:shd w:val="clear" w:color="auto" w:fill="5b9bd5"/>
        </w:tblPrEx>
        <w:trPr>
          <w:trHeight w:val="535" w:hRule="atLeast"/>
          <w:tblHeader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4f5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имя поля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4f5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возможные значения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4f5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описание</w:t>
            </w:r>
          </w:p>
        </w:tc>
      </w:tr>
      <w:tr>
        <w:tblPrEx>
          <w:shd w:val="clear" w:color="auto" w:fill="d0ddef"/>
        </w:tblPrEx>
        <w:trPr>
          <w:trHeight w:val="27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userName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LOGIN-api,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выданный банком </w:t>
            </w:r>
          </w:p>
        </w:tc>
      </w:tr>
      <w:tr>
        <w:tblPrEx>
          <w:shd w:val="clear" w:color="auto" w:fill="d0ddef"/>
        </w:tblPrEx>
        <w:trPr>
          <w:trHeight w:val="27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password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Пароль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,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выданный банком</w:t>
            </w:r>
          </w:p>
        </w:tc>
      </w:tr>
      <w:tr>
        <w:tblPrEx>
          <w:shd w:val="clear" w:color="auto" w:fill="d0ddef"/>
        </w:tblPrEx>
        <w:trPr>
          <w:trHeight w:val="53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test_mode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yes / no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Режим отладки для проведения тестовых платежей</w:t>
            </w:r>
          </w:p>
        </w:tc>
      </w:tr>
      <w:tr>
        <w:tblPrEx>
          <w:shd w:val="clear" w:color="auto" w:fill="d0ddef"/>
        </w:tblPrEx>
        <w:trPr>
          <w:trHeight w:val="27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two-stage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yes / no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Стадийность платежей</w:t>
            </w:r>
          </w:p>
        </w:tc>
      </w:tr>
      <w:tr>
        <w:tblPrEx>
          <w:shd w:val="clear" w:color="auto" w:fill="d0ddef"/>
        </w:tblPrEx>
        <w:trPr>
          <w:trHeight w:val="53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successUrl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http://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URL,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куда возвращаем покупателя после успешной оплаты</w:t>
            </w:r>
          </w:p>
        </w:tc>
      </w:tr>
      <w:tr>
        <w:tblPrEx>
          <w:shd w:val="clear" w:color="auto" w:fill="d0ddef"/>
        </w:tblPrEx>
        <w:trPr>
          <w:trHeight w:val="53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failUrl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http://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URL,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куда возвращаем покупателя после неуспешной оплаты</w:t>
            </w:r>
          </w:p>
        </w:tc>
      </w:tr>
      <w:tr>
        <w:tblPrEx>
          <w:shd w:val="clear" w:color="auto" w:fill="d0ddef"/>
        </w:tblPrEx>
        <w:trPr>
          <w:trHeight w:val="53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send_order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yes / no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Отправлять данные заказа на шлюз для фискализации</w:t>
            </w:r>
          </w:p>
        </w:tc>
      </w:tr>
      <w:tr>
        <w:tblPrEx>
          <w:shd w:val="clear" w:color="auto" w:fill="d0ddef"/>
        </w:tblPrEx>
        <w:trPr>
          <w:trHeight w:val="262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taxSystem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spacing w:after="0" w:line="240" w:lineRule="auto"/>
            </w:pP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>0..5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</w:rPr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Система налогообложения</w:t>
            </w:r>
          </w:p>
          <w:p>
            <w:pPr>
              <w:pStyle w:val="Normal.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bidi w:val="0"/>
              <w:spacing w:before="150"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'0'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Общая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cs="Courier New" w:hAnsi="Courier New" w:eastAsia="Courier New"/>
                <w:color w:val="6a8759"/>
                <w:sz w:val="20"/>
                <w:szCs w:val="20"/>
                <w:u w:color="6a8759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Упрощённая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, 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доход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cs="Courier New" w:hAnsi="Courier New" w:eastAsia="Courier New"/>
                <w:color w:val="6a8759"/>
                <w:sz w:val="20"/>
                <w:szCs w:val="20"/>
                <w:u w:color="6a8759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'2'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Упрощённая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, 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доход минус расход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cs="Courier New" w:hAnsi="Courier New" w:eastAsia="Courier New"/>
                <w:color w:val="6a8759"/>
                <w:sz w:val="20"/>
                <w:szCs w:val="20"/>
                <w:u w:color="6a8759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'3'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'E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диный налог на вмененный доход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cs="Courier New" w:hAnsi="Courier New" w:eastAsia="Courier New"/>
                <w:color w:val="6a8759"/>
                <w:sz w:val="20"/>
                <w:szCs w:val="20"/>
                <w:u w:color="6a8759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'4'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'E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диный сельскохозяйственный налог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cs="Courier New" w:hAnsi="Courier New" w:eastAsia="Courier New"/>
                <w:color w:val="6a8759"/>
                <w:sz w:val="20"/>
                <w:szCs w:val="20"/>
                <w:u w:color="6a8759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'5'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-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Патентная система налогообложения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</w:p>
        </w:tc>
      </w:tr>
      <w:tr>
        <w:tblPrEx>
          <w:shd w:val="clear" w:color="auto" w:fill="d0ddef"/>
        </w:tblPrEx>
        <w:trPr>
          <w:trHeight w:val="416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paymentMethod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1 .. 7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</w:rPr>
            </w:pPr>
            <w:r>
              <w:rPr>
                <w:rFonts w:ascii="Segoe UI" w:cs="Segoe UI" w:hAnsi="Segoe UI" w:eastAsia="Segoe UI"/>
                <w:color w:val="23282d"/>
                <w:sz w:val="21"/>
                <w:szCs w:val="21"/>
                <w:u w:color="23282d"/>
                <w:rtl w:val="0"/>
                <w:lang w:val="ru-RU"/>
              </w:rPr>
              <w:t>Тип оплаты</w:t>
            </w:r>
            <w:r>
              <w:rPr>
                <w:rFonts w:ascii="Segoe UI" w:cs="Segoe UI" w:hAnsi="Segoe UI" w:eastAsia="Segoe UI"/>
                <w:color w:val="23282d"/>
                <w:sz w:val="21"/>
                <w:szCs w:val="21"/>
                <w:u w:color="23282d"/>
                <w:rtl w:val="0"/>
                <w:lang w:val="ru-RU"/>
              </w:rPr>
              <w:t xml:space="preserve">, </w:t>
            </w:r>
            <w:r>
              <w:rPr>
                <w:rFonts w:ascii="Segoe UI" w:cs="Segoe UI" w:hAnsi="Segoe UI" w:eastAsia="Segoe UI"/>
                <w:color w:val="23282d"/>
                <w:sz w:val="21"/>
                <w:szCs w:val="21"/>
                <w:u w:color="23282d"/>
                <w:rtl w:val="0"/>
                <w:lang w:val="ru-RU"/>
              </w:rPr>
              <w:t xml:space="preserve">начиная с </w:t>
            </w:r>
            <w:r>
              <w:rPr>
                <w:rFonts w:ascii="Segoe UI" w:cs="Segoe UI" w:hAnsi="Segoe UI" w:eastAsia="Segoe UI"/>
                <w:color w:val="23282d"/>
                <w:sz w:val="21"/>
                <w:szCs w:val="21"/>
                <w:u w:color="23282d"/>
                <w:rtl w:val="0"/>
                <w:lang w:val="ru-RU"/>
              </w:rPr>
              <w:t>1.05</w:t>
            </w:r>
          </w:p>
          <w:p>
            <w:pPr>
              <w:pStyle w:val="Normal.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bidi w:val="0"/>
              <w:spacing w:before="150"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Полная предварительная оплата до момента передачи предмета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'2'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Частичная предварительная оплата до момента передачи предмета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'3'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Аванс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'4'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Полная оплата в момент передачи предмета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'5'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Частичная оплата предмета расчёта в момент его передачи с последующей оплатой в кредит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'6'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Передача предмета расчёта без его оплаты в момент его передачи с последующей оплатой в кредит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'7'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Оплата предмета расчёта после его передачи с оплатой в кредит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</w:p>
        </w:tc>
      </w:tr>
      <w:tr>
        <w:tblPrEx>
          <w:shd w:val="clear" w:color="auto" w:fill="d0ddef"/>
        </w:tblPrEx>
        <w:trPr>
          <w:trHeight w:val="442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paymentMethod_Delivery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1 .. 7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</w:rPr>
            </w:pPr>
            <w:r>
              <w:rPr>
                <w:rFonts w:ascii="Segoe UI" w:cs="Segoe UI" w:hAnsi="Segoe UI" w:eastAsia="Segoe UI"/>
                <w:color w:val="23282d"/>
                <w:sz w:val="21"/>
                <w:szCs w:val="21"/>
                <w:u w:color="23282d"/>
                <w:rtl w:val="0"/>
                <w:lang w:val="ru-RU"/>
              </w:rPr>
              <w:t>Тип оплаты для доставки</w:t>
            </w:r>
            <w:r>
              <w:rPr>
                <w:rFonts w:ascii="Segoe UI" w:cs="Segoe UI" w:hAnsi="Segoe UI" w:eastAsia="Segoe UI"/>
                <w:color w:val="23282d"/>
                <w:sz w:val="21"/>
                <w:szCs w:val="21"/>
                <w:u w:color="23282d"/>
                <w:rtl w:val="0"/>
                <w:lang w:val="ru-RU"/>
              </w:rPr>
              <w:t xml:space="preserve">, </w:t>
            </w:r>
            <w:r>
              <w:rPr>
                <w:rFonts w:ascii="Segoe UI" w:cs="Segoe UI" w:hAnsi="Segoe UI" w:eastAsia="Segoe UI"/>
                <w:color w:val="23282d"/>
                <w:sz w:val="21"/>
                <w:szCs w:val="21"/>
                <w:u w:color="23282d"/>
                <w:rtl w:val="0"/>
                <w:lang w:val="ru-RU"/>
              </w:rPr>
              <w:t xml:space="preserve">начиная с </w:t>
            </w:r>
            <w:r>
              <w:rPr>
                <w:rFonts w:ascii="Segoe UI" w:cs="Segoe UI" w:hAnsi="Segoe UI" w:eastAsia="Segoe UI"/>
                <w:color w:val="23282d"/>
                <w:sz w:val="21"/>
                <w:szCs w:val="21"/>
                <w:u w:color="23282d"/>
                <w:rtl w:val="0"/>
                <w:lang w:val="ru-RU"/>
              </w:rPr>
              <w:t>1.05</w:t>
            </w:r>
          </w:p>
          <w:p>
            <w:pPr>
              <w:pStyle w:val="Normal.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bidi w:val="0"/>
              <w:spacing w:before="150"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Полная предварительная оплата до момента передачи предмета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'2'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Частичная предварительная оплата до момента передачи предмета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'3'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Аванс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'4'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Полная оплата в момент передачи предмета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'5'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Частичная оплата предмета расчёта в момент его передачи с последующей оплатой в кредит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'6'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Передача предмета расчёта без его оплаты в момент его передачи с последующей оплатой в кредит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'7'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Оплата предмета расчёта после его передачи с оплатой в кредит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</w:p>
        </w:tc>
      </w:tr>
      <w:tr>
        <w:tblPrEx>
          <w:shd w:val="clear" w:color="auto" w:fill="d0ddef"/>
        </w:tblPrEx>
        <w:trPr>
          <w:trHeight w:val="310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paymentObject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1 .. 13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</w:rPr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Используется в версих ФФД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,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 xml:space="preserve">начиная с </w:t>
            </w: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1.05</w:t>
            </w:r>
          </w:p>
          <w:p>
            <w:pPr>
              <w:pStyle w:val="Normal.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bidi w:val="0"/>
              <w:spacing w:before="150"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Товар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'2'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Подакцизный товар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'3'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Работа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'4'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Услуга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'5'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Ставка азартной игры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808080"/>
                <w:sz w:val="20"/>
                <w:szCs w:val="20"/>
                <w:u w:color="808080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'7'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Лотерейный билет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808080"/>
                <w:sz w:val="20"/>
                <w:szCs w:val="20"/>
                <w:u w:color="808080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'9'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Предоставление РИД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'10'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Платёж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'11'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Агентское вознаграждение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'12'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Составной предмет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  <w:r>
              <w:rPr>
                <w:rFonts w:ascii="Courier New" w:cs="Courier New" w:hAnsi="Courier New" w:eastAsia="Courier New"/>
                <w:color w:val="cc7832"/>
                <w:sz w:val="20"/>
                <w:szCs w:val="20"/>
                <w:u w:color="cc7832"/>
                <w:lang w:val="ru-RU"/>
              </w:rPr>
              <w:br w:type="textWrapping"/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 xml:space="preserve">'13' </w:t>
            </w:r>
            <w:r>
              <w:rPr>
                <w:rFonts w:ascii="Courier New" w:hAnsi="Courier New"/>
                <w:color w:val="172b4d"/>
                <w:sz w:val="20"/>
                <w:szCs w:val="20"/>
                <w:u w:color="172b4d"/>
                <w:rtl w:val="0"/>
                <w:lang w:val="ru-RU"/>
              </w:rPr>
              <w:t xml:space="preserve">=&gt; 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 w:hint="default"/>
                <w:color w:val="6a8759"/>
                <w:sz w:val="20"/>
                <w:szCs w:val="20"/>
                <w:u w:color="6a8759"/>
                <w:rtl w:val="0"/>
                <w:lang w:val="ru-RU"/>
              </w:rPr>
              <w:t>Иной предмет расчёта</w:t>
            </w:r>
            <w:r>
              <w:rPr>
                <w:rFonts w:ascii="Courier New" w:hAnsi="Courier New"/>
                <w:color w:val="6a8759"/>
                <w:sz w:val="20"/>
                <w:szCs w:val="20"/>
                <w:u w:color="6a8759"/>
                <w:rtl w:val="0"/>
                <w:lang w:val="ru-RU"/>
              </w:rPr>
              <w:t>'</w:t>
            </w:r>
            <w:r>
              <w:rPr>
                <w:rFonts w:ascii="Courier New" w:hAnsi="Courier New"/>
                <w:color w:val="cc7832"/>
                <w:sz w:val="20"/>
                <w:szCs w:val="20"/>
                <w:u w:color="cc7832"/>
                <w:rtl w:val="0"/>
                <w:lang w:val="ru-RU"/>
              </w:rPr>
              <w:t>,</w:t>
            </w:r>
          </w:p>
        </w:tc>
      </w:tr>
      <w:tr>
        <w:tblPrEx>
          <w:shd w:val="clear" w:color="auto" w:fill="d0ddef"/>
        </w:tblPrEx>
        <w:trPr>
          <w:trHeight w:val="535" w:hRule="atLeast"/>
        </w:trPr>
        <w:tc>
          <w:tcPr>
            <w:tcW w:type="dxa" w:w="2852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b w:val="1"/>
                <w:bCs w:val="1"/>
                <w:color w:val="172b4d"/>
                <w:sz w:val="21"/>
                <w:szCs w:val="21"/>
                <w:u w:color="172b4d"/>
                <w:rtl w:val="0"/>
                <w:lang w:val="ru-RU"/>
              </w:rPr>
              <w:t>write_log</w:t>
            </w:r>
          </w:p>
        </w:tc>
        <w:tc>
          <w:tcPr>
            <w:tcW w:type="dxa" w:w="1811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yes</w:t>
            </w:r>
          </w:p>
        </w:tc>
        <w:tc>
          <w:tcPr>
            <w:tcW w:type="dxa" w:w="4676"/>
            <w:tcBorders>
              <w:top w:val="single" w:color="c1c7d0" w:sz="6" w:space="0" w:shadow="0" w:frame="0"/>
              <w:left w:val="single" w:color="c1c7d0" w:sz="6" w:space="0" w:shadow="0" w:frame="0"/>
              <w:bottom w:val="single" w:color="c1c7d0" w:sz="6" w:space="0" w:shadow="0" w:frame="0"/>
              <w:right w:val="single" w:color="c1c7d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Segoe UI" w:cs="Segoe UI" w:hAnsi="Segoe UI" w:eastAsia="Segoe UI"/>
                <w:color w:val="172b4d"/>
                <w:sz w:val="21"/>
                <w:szCs w:val="21"/>
                <w:u w:color="172b4d"/>
                <w:rtl w:val="0"/>
                <w:lang w:val="ru-RU"/>
              </w:rPr>
              <w:t>Вести логирование запросов платежного шлюза</w:t>
            </w:r>
          </w:p>
        </w:tc>
      </w:tr>
    </w:tbl>
    <w:p>
      <w:pPr>
        <w:pStyle w:val="Normal.0"/>
        <w:widowControl w:val="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</w:pPr>
      <w:r/>
    </w:p>
    <w:sectPr>
      <w:headerReference w:type="default" r:id="rId6"/>
      <w:footerReference w:type="default" r:id="rId7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Segoe UI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