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heading 1"/>
        <w:numPr>
          <w:ilvl w:val="0"/>
          <w:numId w:val="2"/>
        </w:numPr>
      </w:pPr>
      <w:bookmarkStart w:name="scrollbookmark4" w:id="0"/>
      <w:r>
        <w:rPr>
          <w:rtl w:val="0"/>
        </w:rPr>
        <w:t>Установка плагина</w:t>
      </w:r>
      <w:bookmarkEnd w:id="0"/>
    </w:p>
    <w:p>
      <w:pPr>
        <w:pStyle w:val="Normal.0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4762</wp:posOffset>
                </wp:positionH>
                <wp:positionV relativeFrom="line">
                  <wp:posOffset>-4762</wp:posOffset>
                </wp:positionV>
                <wp:extent cx="5382896" cy="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2896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80808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0.4pt;margin-top:-0.4pt;width:423.9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80808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tl w:val="0"/>
        </w:rPr>
        <w:t>В административной панели сайта</w:t>
      </w:r>
      <w:r>
        <w:rPr>
          <w:rtl w:val="0"/>
        </w:rPr>
        <w:t>.</w:t>
      </w:r>
    </w:p>
    <w:p>
      <w:pPr>
        <w:pStyle w:val="Normal.0"/>
      </w:pPr>
      <w:r>
        <w:rPr>
          <w:rtl w:val="0"/>
          <w:lang w:val="ru-RU"/>
        </w:rPr>
        <w:t xml:space="preserve">1. </w:t>
      </w:r>
      <w:r>
        <w:rPr>
          <w:rtl w:val="0"/>
          <w:lang w:val="ru-RU"/>
        </w:rPr>
        <w:t>В панели навигации слева необходимо выбрать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 </w:t>
      </w:r>
      <w:r>
        <w:rPr>
          <w:b w:val="1"/>
          <w:bCs w:val="1"/>
          <w:rtl w:val="0"/>
          <w:lang w:val="ru-RU"/>
        </w:rPr>
        <w:t xml:space="preserve">Плагины </w:t>
      </w:r>
      <w:r>
        <w:rPr>
          <w:b w:val="1"/>
          <w:bCs w:val="1"/>
          <w:rtl w:val="0"/>
          <w:lang w:val="ru-RU"/>
        </w:rPr>
        <w:t xml:space="preserve">&gt; </w:t>
      </w:r>
      <w:r>
        <w:rPr>
          <w:b w:val="1"/>
          <w:bCs w:val="1"/>
          <w:rtl w:val="0"/>
          <w:lang w:val="ru-RU"/>
        </w:rPr>
        <w:t>Добавить новый</w:t>
      </w:r>
      <w:r>
        <w:rPr>
          <w:rtl w:val="0"/>
          <w:lang w:val="ru-RU"/>
        </w:rPr>
        <w:t>.</w:t>
      </w:r>
    </w:p>
    <w:p>
      <w:pPr>
        <w:pStyle w:val="Normal.0"/>
      </w:pPr>
      <w:r>
        <w:drawing>
          <wp:inline distT="0" distB="0" distL="0" distR="0">
            <wp:extent cx="5395596" cy="3247303"/>
            <wp:effectExtent l="0" t="0" r="0" b="0"/>
            <wp:docPr id="1073741826" name="officeArt object" descr="_scroll_external/attachments/screenshot-2022-02-22-at-19-47-00-63c5f3f9a6f7e90c97025e3aa0333e428c2356318fca96bf700e678acfaf8f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_scroll_external/attachments/screenshot-2022-02-22-at-19-47-00-63c5f3f9a6f7e90c97025e3aa0333e428c2356318fca96bf700e678acfaf8f35.png" descr="_scroll_external/attachments/screenshot-2022-02-22-at-19-47-00-63c5f3f9a6f7e90c97025e3aa0333e428c2356318fca96bf700e678acfaf8f35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5596" cy="324730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</w:pPr>
    </w:p>
    <w:p>
      <w:pPr>
        <w:pStyle w:val="Normal.0"/>
        <w:rPr>
          <w:lang w:val="ru-RU"/>
        </w:rPr>
      </w:pPr>
      <w:r>
        <w:rPr>
          <w:color w:val="000000"/>
          <w:u w:color="000000"/>
          <w:rtl w:val="0"/>
          <w:lang w:val="ru-RU"/>
        </w:rPr>
        <w:t xml:space="preserve">3. </w:t>
      </w:r>
      <w:r>
        <w:rPr>
          <w:color w:val="000000"/>
          <w:u w:color="000000"/>
          <w:rtl w:val="0"/>
          <w:lang w:val="ru-RU"/>
        </w:rPr>
        <w:t>После загрузки файла</w:t>
      </w:r>
      <w:r>
        <w:rPr>
          <w:color w:val="000000"/>
          <w:u w:color="000000"/>
          <w:rtl w:val="0"/>
          <w:lang w:val="ru-RU"/>
        </w:rPr>
        <w:t>-</w:t>
      </w:r>
      <w:r>
        <w:rPr>
          <w:color w:val="000000"/>
          <w:u w:color="000000"/>
          <w:rtl w:val="0"/>
          <w:lang w:val="ru-RU"/>
        </w:rPr>
        <w:t>плагина появится страница успешной установки плагина из загруженного файла</w:t>
      </w:r>
    </w:p>
    <w:p>
      <w:pPr>
        <w:pStyle w:val="Normal.0"/>
      </w:pPr>
      <w:r>
        <w:rPr>
          <w:rtl w:val="0"/>
          <w:lang w:val="ru-RU"/>
        </w:rPr>
        <w:t xml:space="preserve">4. </w:t>
      </w:r>
      <w:r>
        <w:rPr>
          <w:rtl w:val="0"/>
          <w:lang w:val="ru-RU"/>
        </w:rPr>
        <w:t>В панели слева перейти в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 </w:t>
      </w:r>
      <w:r>
        <w:rPr>
          <w:b w:val="1"/>
          <w:bCs w:val="1"/>
          <w:rtl w:val="0"/>
          <w:lang w:val="ru-RU"/>
        </w:rPr>
        <w:t xml:space="preserve">Плагины </w:t>
      </w:r>
      <w:r>
        <w:rPr>
          <w:b w:val="1"/>
          <w:bCs w:val="1"/>
          <w:rtl w:val="0"/>
          <w:lang w:val="ru-RU"/>
        </w:rPr>
        <w:t xml:space="preserve">&gt; </w:t>
      </w:r>
      <w:r>
        <w:rPr>
          <w:b w:val="1"/>
          <w:bCs w:val="1"/>
          <w:rtl w:val="0"/>
          <w:lang w:val="ru-RU"/>
        </w:rPr>
        <w:t>Установленные</w:t>
      </w:r>
      <w:r>
        <w:rPr>
          <w:rtl w:val="0"/>
          <w:lang w:val="ru-RU"/>
        </w:rPr>
        <w:t>.</w:t>
      </w:r>
    </w:p>
    <w:p>
      <w:pPr>
        <w:pStyle w:val="Normal.0"/>
      </w:pPr>
      <w:r>
        <w:rPr>
          <w:rtl w:val="0"/>
          <w:lang w:val="ru-RU"/>
        </w:rPr>
        <w:t xml:space="preserve">5. </w:t>
      </w:r>
      <w:r>
        <w:rPr>
          <w:b w:val="1"/>
          <w:bCs w:val="1"/>
          <w:rtl w:val="0"/>
          <w:lang w:val="ru-RU"/>
        </w:rPr>
        <w:t>Активировать</w:t>
      </w:r>
      <w:r>
        <w:rPr>
          <w:rtl w:val="0"/>
          <w:lang w:val="ru-RU"/>
        </w:rPr>
        <w:t xml:space="preserve"> 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>под названием плагина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 </w:t>
      </w:r>
      <w:r>
        <w:rPr>
          <w:b w:val="1"/>
          <w:bCs w:val="1"/>
          <w:rtl w:val="0"/>
          <w:lang w:val="ru-RU"/>
        </w:rPr>
        <w:t>Оплата банковской картой</w:t>
      </w:r>
      <w:r>
        <w:rPr>
          <w:rtl w:val="0"/>
          <w:lang w:val="ru-RU"/>
        </w:rPr>
        <w:t>.</w:t>
      </w:r>
    </w:p>
    <w:p>
      <w:pPr>
        <w:pStyle w:val="heading 1"/>
        <w:numPr>
          <w:ilvl w:val="0"/>
          <w:numId w:val="2"/>
        </w:numPr>
      </w:pPr>
      <w:bookmarkStart w:name="scrollbookmark5" w:id="1"/>
      <w:r>
        <w:rPr>
          <w:rtl w:val="0"/>
        </w:rPr>
        <w:t>Настройка плагина</w:t>
      </w:r>
      <w:bookmarkEnd w:id="1"/>
    </w:p>
    <w:p>
      <w:pPr>
        <w:pStyle w:val="Normal.0"/>
      </w:pPr>
      <w:r>
        <w:rPr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4762</wp:posOffset>
                </wp:positionH>
                <wp:positionV relativeFrom="line">
                  <wp:posOffset>-4762</wp:posOffset>
                </wp:positionV>
                <wp:extent cx="5382896" cy="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2896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80808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0.4pt;margin-top:-0.4pt;width:423.9pt;height:0.0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80808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tl w:val="0"/>
          <w:lang w:val="ru-RU"/>
        </w:rPr>
        <w:t xml:space="preserve">Чтобы настроить метод оплаты для </w:t>
      </w:r>
      <w:r>
        <w:rPr>
          <w:rtl w:val="0"/>
          <w:lang w:val="en-US"/>
        </w:rPr>
        <w:t>Woocommerce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необходимо выполнить следующие действия</w:t>
      </w:r>
      <w:r>
        <w:rPr>
          <w:rtl w:val="0"/>
          <w:lang w:val="ru-RU"/>
        </w:rPr>
        <w:t>:</w:t>
      </w:r>
    </w:p>
    <w:p>
      <w:pPr>
        <w:pStyle w:val="Normal.0"/>
      </w:pPr>
      <w:r>
        <w:rPr>
          <w:rtl w:val="0"/>
          <w:lang w:val="ru-RU"/>
        </w:rPr>
        <w:t xml:space="preserve">1. </w:t>
      </w:r>
      <w:r>
        <w:rPr>
          <w:rtl w:val="0"/>
          <w:lang w:val="ru-RU"/>
        </w:rPr>
        <w:t xml:space="preserve">В панели слева выбрать </w:t>
      </w:r>
      <w:r>
        <w:rPr>
          <w:b w:val="1"/>
          <w:bCs w:val="1"/>
          <w:rtl w:val="0"/>
          <w:lang w:val="en-US"/>
        </w:rPr>
        <w:t>WooCommerce</w:t>
      </w:r>
      <w:r>
        <w:rPr>
          <w:rtl w:val="0"/>
          <w:lang w:val="ru-RU"/>
        </w:rPr>
        <w:t xml:space="preserve"> </w:t>
      </w:r>
      <w:r>
        <w:rPr>
          <w:b w:val="1"/>
          <w:bCs w:val="1"/>
          <w:rtl w:val="0"/>
          <w:lang w:val="ru-RU"/>
        </w:rPr>
        <w:t xml:space="preserve">&gt; </w:t>
      </w:r>
      <w:r>
        <w:rPr>
          <w:b w:val="1"/>
          <w:bCs w:val="1"/>
          <w:rtl w:val="0"/>
          <w:lang w:val="ru-RU"/>
        </w:rPr>
        <w:t>Настройки</w:t>
      </w:r>
      <w:r>
        <w:rPr>
          <w:rtl w:val="0"/>
          <w:lang w:val="ru-RU"/>
        </w:rPr>
        <w:t xml:space="preserve"> </w:t>
      </w:r>
      <w:r>
        <w:rPr>
          <w:rtl w:val="0"/>
          <w:lang w:val="en-US"/>
        </w:rPr>
        <w:t> </w:t>
      </w:r>
    </w:p>
    <w:p>
      <w:pPr>
        <w:pStyle w:val="Normal.0"/>
      </w:pPr>
      <w:r>
        <w:rPr>
          <w:rtl w:val="0"/>
        </w:rPr>
        <w:t xml:space="preserve">2. </w:t>
      </w:r>
      <w:r>
        <w:rPr>
          <w:rtl w:val="0"/>
        </w:rPr>
        <w:t xml:space="preserve">Выбрать метод оплаты </w:t>
      </w:r>
      <w:r>
        <w:rPr>
          <w:rtl w:val="0"/>
        </w:rPr>
        <w:t>ALFA</w:t>
      </w:r>
      <w:r>
        <w:rPr>
          <w:rtl w:val="0"/>
        </w:rPr>
        <w:t>Payment</w:t>
      </w:r>
    </w:p>
    <w:p>
      <w:pPr>
        <w:pStyle w:val="Normal.0"/>
      </w:pPr>
    </w:p>
    <w:tbl>
      <w:tblPr>
        <w:tblW w:w="848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100"/>
        <w:gridCol w:w="4387"/>
      </w:tblGrid>
      <w:tr>
        <w:tblPrEx>
          <w:shd w:val="clear" w:color="auto" w:fill="4f81bd"/>
        </w:tblPrEx>
        <w:trPr>
          <w:trHeight w:val="223" w:hRule="atLeast"/>
          <w:tblHeader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f0f0f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color w:val="262626"/>
                <w:u w:color="262626"/>
                <w:rtl w:val="0"/>
                <w:lang w:val="en-US"/>
              </w:rPr>
              <w:t>Настройка</w:t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f0f0f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color w:val="262626"/>
                <w:u w:color="262626"/>
                <w:rtl w:val="0"/>
                <w:lang w:val="en-US"/>
              </w:rPr>
              <w:t>Описание</w:t>
            </w:r>
          </w:p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Включен</w:t>
            </w:r>
            <w:r>
              <w:rPr>
                <w:b w:val="1"/>
                <w:bCs w:val="1"/>
                <w:rtl w:val="0"/>
                <w:lang w:val="en-US"/>
              </w:rPr>
              <w:t>/</w:t>
            </w:r>
            <w:r>
              <w:rPr>
                <w:b w:val="1"/>
                <w:bCs w:val="1"/>
                <w:rtl w:val="0"/>
                <w:lang w:val="en-US"/>
              </w:rPr>
              <w:t>Выключен</w:t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Позволяет включить или отключить метод оплаты</w:t>
            </w:r>
          </w:p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Заголовок</w:t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Название способа оплаты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>например</w:t>
            </w:r>
            <w:r>
              <w:rPr>
                <w:rtl w:val="0"/>
                <w:lang w:val="ru-RU"/>
              </w:rPr>
              <w:t>:</w:t>
            </w:r>
            <w:r>
              <w:rPr>
                <w:rtl w:val="0"/>
                <w:lang w:val="en-US"/>
              </w:rPr>
              <w:t> </w:t>
            </w:r>
            <w:r>
              <w:rPr>
                <w:rtl w:val="0"/>
                <w:lang w:val="ru-RU"/>
              </w:rPr>
              <w:t xml:space="preserve"> </w:t>
            </w:r>
            <w:r>
              <w:rPr>
                <w:b w:val="1"/>
                <w:bCs w:val="1"/>
                <w:rtl w:val="0"/>
                <w:lang w:val="ru-RU"/>
              </w:rPr>
              <w:t>Банковская карта</w:t>
            </w:r>
            <w:r>
              <w:rPr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10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Логин</w:t>
            </w:r>
            <w:r>
              <w:rPr>
                <w:b w:val="1"/>
                <w:bCs w:val="1"/>
                <w:rtl w:val="0"/>
                <w:lang w:val="en-US"/>
              </w:rPr>
              <w:t>-API</w:t>
            </w:r>
            <w:r>
              <w:rPr/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 xml:space="preserve">Логин учетной записи </w:t>
            </w:r>
            <w:r>
              <w:rPr>
                <w:rtl w:val="0"/>
                <w:lang w:val="en-US"/>
              </w:rPr>
              <w:t>API</w:t>
            </w:r>
            <w:r>
              <w:rPr>
                <w:rtl w:val="0"/>
                <w:lang w:val="ru-RU"/>
              </w:rPr>
              <w:t>.</w:t>
            </w:r>
            <w:r>
              <w:rPr>
                <w:rtl w:val="0"/>
                <w:lang w:val="ru-RU"/>
              </w:rPr>
              <w:br w:type="textWrapping"/>
              <w:t>Если плагин работает в тестовом режиме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>введите тестовый логин</w:t>
            </w:r>
            <w:r>
              <w:rPr>
                <w:rtl w:val="0"/>
                <w:lang w:val="ru-RU"/>
              </w:rPr>
              <w:t xml:space="preserve">. </w:t>
            </w:r>
            <w:r>
              <w:rPr>
                <w:rtl w:val="0"/>
                <w:lang w:val="en-US"/>
              </w:rPr>
              <w:t>Если плагин работает в боевом режиме</w:t>
            </w:r>
            <w:r>
              <w:rPr>
                <w:rtl w:val="0"/>
                <w:lang w:val="en-US"/>
              </w:rPr>
              <w:t xml:space="preserve">, </w:t>
            </w:r>
            <w:r>
              <w:rPr>
                <w:rtl w:val="0"/>
                <w:lang w:val="en-US"/>
              </w:rPr>
              <w:t>введите боевой логин</w:t>
            </w:r>
            <w:r>
              <w:rPr>
                <w:rtl w:val="0"/>
                <w:lang w:val="en-US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10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Пароль</w:t>
            </w:r>
            <w:r>
              <w:rPr/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 xml:space="preserve">Пароль учетной записи </w:t>
            </w:r>
            <w:r>
              <w:rPr>
                <w:rtl w:val="0"/>
                <w:lang w:val="en-US"/>
              </w:rPr>
              <w:t>API</w:t>
            </w:r>
            <w:r>
              <w:rPr>
                <w:rtl w:val="0"/>
                <w:lang w:val="ru-RU"/>
              </w:rPr>
              <w:t>.</w:t>
            </w:r>
            <w:r>
              <w:rPr>
                <w:rtl w:val="0"/>
                <w:lang w:val="ru-RU"/>
              </w:rPr>
              <w:br w:type="textWrapping"/>
              <w:t>Если плагин работает в тестовом режиме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>введите тестовый пароль</w:t>
            </w:r>
            <w:r>
              <w:rPr>
                <w:rtl w:val="0"/>
                <w:lang w:val="ru-RU"/>
              </w:rPr>
              <w:t xml:space="preserve">. </w:t>
            </w:r>
            <w:r>
              <w:rPr>
                <w:rtl w:val="0"/>
                <w:lang w:val="en-US"/>
              </w:rPr>
              <w:t>Если плагин работает в боевом режиме</w:t>
            </w:r>
            <w:r>
              <w:rPr>
                <w:rtl w:val="0"/>
                <w:lang w:val="en-US"/>
              </w:rPr>
              <w:t xml:space="preserve">, </w:t>
            </w:r>
            <w:r>
              <w:rPr>
                <w:rtl w:val="0"/>
                <w:lang w:val="en-US"/>
              </w:rPr>
              <w:t>введите боевой пароль</w:t>
            </w:r>
            <w:r>
              <w:rPr>
                <w:rtl w:val="0"/>
                <w:lang w:val="en-US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Тип платежей</w:t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en-US"/>
              </w:rPr>
              <w:t>Включает</w:t>
            </w:r>
            <w:r>
              <w:rPr>
                <w:rtl w:val="0"/>
                <w:lang w:val="en-US"/>
              </w:rPr>
              <w:t>/</w:t>
            </w:r>
            <w:r>
              <w:rPr>
                <w:rtl w:val="0"/>
                <w:lang w:val="en-US"/>
              </w:rPr>
              <w:t>отключает двухстадийные платежи</w:t>
            </w:r>
            <w:r>
              <w:rPr>
                <w:rtl w:val="0"/>
                <w:lang w:val="en-US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Тестовый режим</w:t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Определяет режим работы плагина</w:t>
            </w:r>
            <w:r>
              <w:rPr>
                <w:rtl w:val="0"/>
                <w:lang w:val="ru-RU"/>
              </w:rPr>
              <w:t xml:space="preserve">: </w:t>
            </w:r>
            <w:r>
              <w:rPr>
                <w:rtl w:val="0"/>
                <w:lang w:val="ru-RU"/>
              </w:rPr>
              <w:t>тестовый или рабочий</w:t>
            </w:r>
            <w:r>
              <w:rPr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10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Если оплата производится в тестовом режиме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>следует указывать пароль от тестовой служебной учетной записи</w:t>
            </w:r>
            <w:r>
              <w:rPr>
                <w:rtl w:val="0"/>
                <w:lang w:val="ru-RU"/>
              </w:rPr>
              <w:t xml:space="preserve">. </w:t>
            </w:r>
            <w:r>
              <w:rPr>
                <w:rtl w:val="0"/>
                <w:lang w:val="ru-RU"/>
              </w:rPr>
              <w:t>Для рабочего режима следует указывать пароль от основной учетной записи</w:t>
            </w:r>
            <w:r>
              <w:rPr>
                <w:rtl w:val="0"/>
                <w:lang w:val="ru-RU"/>
              </w:rPr>
              <w:t>.</w:t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Описание</w:t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Введите описание способа платежа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>которое будет отображаться покупателю</w:t>
            </w:r>
            <w:r>
              <w:rPr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success_url</w:t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en-US"/>
              </w:rPr>
              <w:t>URL</w:t>
            </w:r>
            <w:r>
              <w:rPr>
                <w:rtl w:val="0"/>
                <w:lang w:val="ru-RU"/>
              </w:rPr>
              <w:t>-</w:t>
            </w:r>
            <w:r>
              <w:rPr>
                <w:rtl w:val="0"/>
                <w:lang w:val="ru-RU"/>
              </w:rPr>
              <w:t>адрес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>на который будет перенаправлен пользователь в случае успешной оплаты</w:t>
            </w:r>
          </w:p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fail_url</w:t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en-US"/>
              </w:rPr>
              <w:t>URL</w:t>
            </w:r>
            <w:r>
              <w:rPr>
                <w:rtl w:val="0"/>
                <w:lang w:val="ru-RU"/>
              </w:rPr>
              <w:t>-</w:t>
            </w:r>
            <w:r>
              <w:rPr>
                <w:rtl w:val="0"/>
                <w:lang w:val="ru-RU"/>
              </w:rPr>
              <w:t>адрес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>на который будет перенаправлен пользователь в случае неуспешной оплаты</w:t>
            </w:r>
          </w:p>
        </w:tc>
      </w:tr>
      <w:tr>
        <w:tblPrEx>
          <w:shd w:val="clear" w:color="auto" w:fill="ced7e7"/>
        </w:tblPrEx>
        <w:trPr>
          <w:trHeight w:val="88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ru-RU"/>
              </w:rPr>
              <w:t>Отправлять данные корзины покупателя на шлюз</w:t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Включить</w:t>
            </w:r>
            <w:r>
              <w:rPr>
                <w:rtl w:val="0"/>
                <w:lang w:val="ru-RU"/>
              </w:rPr>
              <w:t>/</w:t>
            </w:r>
            <w:r>
              <w:rPr>
                <w:rtl w:val="0"/>
                <w:lang w:val="ru-RU"/>
              </w:rPr>
              <w:t>выключить отправку данных корзины в платежный шлюз</w:t>
            </w:r>
            <w:r>
              <w:rPr>
                <w:rtl w:val="0"/>
                <w:lang w:val="ru-RU"/>
              </w:rPr>
              <w:t xml:space="preserve">. </w:t>
            </w:r>
            <w:r>
              <w:rPr>
                <w:rtl w:val="0"/>
                <w:lang w:val="ru-RU"/>
              </w:rPr>
              <w:t>Чтобы включить эту функциональность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>обратитесь в службу технической поддержки</w:t>
            </w:r>
            <w:r>
              <w:rPr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292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Система налогообложения</w:t>
            </w:r>
            <w:r>
              <w:rPr/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ru-RU"/>
              </w:rPr>
              <w:t>Система налогообложения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>доступны следующие значения</w:t>
            </w:r>
            <w:r>
              <w:rPr>
                <w:rtl w:val="0"/>
                <w:lang w:val="ru-RU"/>
              </w:rPr>
              <w:t>: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Общая</w:t>
            </w:r>
            <w:r>
              <w:rPr>
                <w:rtl w:val="0"/>
                <w:lang w:val="en-US"/>
              </w:rPr>
              <w:t>;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Упрощённая</w:t>
            </w:r>
            <w:r>
              <w:rPr>
                <w:rtl w:val="0"/>
                <w:lang w:val="en-US"/>
              </w:rPr>
              <w:t xml:space="preserve">, </w:t>
            </w:r>
            <w:r>
              <w:rPr>
                <w:rtl w:val="0"/>
                <w:lang w:val="en-US"/>
              </w:rPr>
              <w:t>доход</w:t>
            </w:r>
            <w:r>
              <w:rPr>
                <w:rtl w:val="0"/>
                <w:lang w:val="en-US"/>
              </w:rPr>
              <w:t>;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Упрощённая</w:t>
            </w:r>
            <w:r>
              <w:rPr>
                <w:rtl w:val="0"/>
                <w:lang w:val="en-US"/>
              </w:rPr>
              <w:t xml:space="preserve">, </w:t>
            </w:r>
            <w:r>
              <w:rPr>
                <w:rtl w:val="0"/>
                <w:lang w:val="en-US"/>
              </w:rPr>
              <w:t>доход минус расход</w:t>
            </w:r>
            <w:r>
              <w:rPr>
                <w:rtl w:val="0"/>
                <w:lang w:val="en-US"/>
              </w:rPr>
              <w:t>;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>Единый налог на вменённый доход</w:t>
            </w:r>
            <w:r>
              <w:rPr>
                <w:rtl w:val="0"/>
                <w:lang w:val="ru-RU"/>
              </w:rPr>
              <w:t>;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Единый сельскохозяйственный налог</w:t>
            </w:r>
            <w:r>
              <w:rPr>
                <w:rtl w:val="0"/>
                <w:lang w:val="en-US"/>
              </w:rPr>
              <w:t>;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Патентная система налогообложения</w:t>
            </w:r>
            <w:r>
              <w:rPr>
                <w:rtl w:val="0"/>
                <w:lang w:val="en-US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Данная настройка применяется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>если у клиента настроены параметры фискализации</w:t>
            </w:r>
            <w:r>
              <w:rPr>
                <w:rtl w:val="0"/>
                <w:lang w:val="ru-RU"/>
              </w:rPr>
              <w:t>.</w:t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2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Ставка НДС по умолчанию</w:t>
            </w:r>
            <w:r>
              <w:rPr/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ru-RU"/>
              </w:rPr>
              <w:t>Ставка НДС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>доступны следующие значения</w:t>
            </w:r>
            <w:r>
              <w:rPr>
                <w:rtl w:val="0"/>
                <w:lang w:val="ru-RU"/>
              </w:rPr>
              <w:t>: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Без НДС</w:t>
            </w:r>
            <w:r>
              <w:rPr>
                <w:rtl w:val="0"/>
                <w:lang w:val="en-US"/>
              </w:rPr>
              <w:t>;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 xml:space="preserve">НДС </w:t>
            </w:r>
            <w:r>
              <w:rPr>
                <w:rtl w:val="0"/>
                <w:lang w:val="en-US"/>
              </w:rPr>
              <w:t>0%;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 xml:space="preserve">НДС </w:t>
            </w:r>
            <w:r>
              <w:rPr>
                <w:rtl w:val="0"/>
                <w:lang w:val="en-US"/>
              </w:rPr>
              <w:t>10%;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 xml:space="preserve">НДС </w:t>
            </w:r>
            <w:r>
              <w:rPr>
                <w:rtl w:val="0"/>
                <w:lang w:val="en-US"/>
              </w:rPr>
              <w:t>18%;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 xml:space="preserve">НДС </w:t>
            </w:r>
            <w:r>
              <w:rPr>
                <w:rtl w:val="0"/>
                <w:lang w:val="en-US"/>
              </w:rPr>
              <w:t>20%;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 xml:space="preserve">НДС чека по расчетной ставке </w:t>
            </w:r>
            <w:r>
              <w:rPr>
                <w:rtl w:val="0"/>
                <w:lang w:val="ru-RU"/>
              </w:rPr>
              <w:t>10/110;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 xml:space="preserve">НДС чека по расчетной ставке </w:t>
            </w:r>
            <w:r>
              <w:rPr>
                <w:rtl w:val="0"/>
                <w:lang w:val="ru-RU"/>
              </w:rPr>
              <w:t>18/118;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 xml:space="preserve">НДС чека по расчетной ставке </w:t>
            </w:r>
            <w:r>
              <w:rPr>
                <w:rtl w:val="0"/>
                <w:lang w:val="ru-RU"/>
              </w:rPr>
              <w:t>20/120.</w:t>
            </w:r>
          </w:p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Данная настройка применяется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>только если настроены параметры фискализации в ЛК банка</w:t>
            </w:r>
            <w:r>
              <w:rPr>
                <w:rtl w:val="0"/>
                <w:lang w:val="ru-RU"/>
              </w:rPr>
              <w:t>.</w:t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80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Тип оплаты</w:t>
            </w:r>
            <w:r>
              <w:rPr/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en-US"/>
              </w:rPr>
              <w:t>Возможны следующие значения</w:t>
            </w:r>
            <w:r>
              <w:rPr>
                <w:rtl w:val="0"/>
                <w:lang w:val="en-US"/>
              </w:rPr>
              <w:t>:</w:t>
            </w:r>
          </w:p>
          <w:p>
            <w:pPr>
              <w:pStyle w:val="Normal.0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>Полная предварительная оплата до момента передачи предмета расчёта</w:t>
            </w:r>
            <w:r>
              <w:rPr>
                <w:rtl w:val="0"/>
                <w:lang w:val="ru-RU"/>
              </w:rPr>
              <w:t>.</w:t>
            </w:r>
          </w:p>
          <w:p>
            <w:pPr>
              <w:pStyle w:val="Normal.0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>Частичная предварительная оплата до момента передачи предмета расчёта</w:t>
            </w:r>
            <w:r>
              <w:rPr>
                <w:rtl w:val="0"/>
                <w:lang w:val="ru-RU"/>
              </w:rPr>
              <w:t>.</w:t>
            </w:r>
          </w:p>
          <w:p>
            <w:pPr>
              <w:pStyle w:val="Normal.0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Аванс</w:t>
            </w:r>
            <w:r>
              <w:rPr>
                <w:rtl w:val="0"/>
                <w:lang w:val="en-US"/>
              </w:rPr>
              <w:t>.</w:t>
            </w:r>
          </w:p>
          <w:p>
            <w:pPr>
              <w:pStyle w:val="Normal.0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>Полная оплата в момент передачи предмета расчёта</w:t>
            </w:r>
            <w:r>
              <w:rPr>
                <w:rtl w:val="0"/>
                <w:lang w:val="ru-RU"/>
              </w:rPr>
              <w:t>.</w:t>
            </w:r>
          </w:p>
          <w:p>
            <w:pPr>
              <w:pStyle w:val="Normal.0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>Частичная оплата предмета расчёта в момент его передачи с последующей оплатой в кредит</w:t>
            </w:r>
            <w:r>
              <w:rPr>
                <w:rtl w:val="0"/>
                <w:lang w:val="ru-RU"/>
              </w:rPr>
              <w:t>.</w:t>
            </w:r>
          </w:p>
          <w:p>
            <w:pPr>
              <w:pStyle w:val="Normal.0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>Передача предмета расчёта без его оплаты в момент его передачи с последующей оплатой в кредит</w:t>
            </w:r>
            <w:r>
              <w:rPr>
                <w:rtl w:val="0"/>
                <w:lang w:val="ru-RU"/>
              </w:rPr>
              <w:t>.</w:t>
            </w:r>
          </w:p>
          <w:p>
            <w:pPr>
              <w:pStyle w:val="Normal.0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>Оплата предмета расчёта после его передачи с оплатой в кредит</w:t>
            </w:r>
            <w:r>
              <w:rPr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480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Тип оплаты для доставки</w:t>
            </w:r>
            <w:r>
              <w:rPr/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en-US"/>
              </w:rPr>
              <w:t>Возможны следующие значения</w:t>
            </w:r>
            <w:r>
              <w:rPr>
                <w:rtl w:val="0"/>
                <w:lang w:val="en-US"/>
              </w:rPr>
              <w:t>:</w:t>
            </w:r>
          </w:p>
          <w:p>
            <w:pPr>
              <w:pStyle w:val="Normal.0"/>
              <w:numPr>
                <w:ilvl w:val="0"/>
                <w:numId w:val="6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>Полная предварительная оплата до момента передачи предмета расчёта</w:t>
            </w:r>
            <w:r>
              <w:rPr>
                <w:rtl w:val="0"/>
                <w:lang w:val="ru-RU"/>
              </w:rPr>
              <w:t>.</w:t>
            </w:r>
          </w:p>
          <w:p>
            <w:pPr>
              <w:pStyle w:val="Normal.0"/>
              <w:numPr>
                <w:ilvl w:val="0"/>
                <w:numId w:val="6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>Частичная предварительная оплата до момента передачи предмета расчёта</w:t>
            </w:r>
            <w:r>
              <w:rPr>
                <w:rtl w:val="0"/>
                <w:lang w:val="ru-RU"/>
              </w:rPr>
              <w:t>.</w:t>
            </w:r>
          </w:p>
          <w:p>
            <w:pPr>
              <w:pStyle w:val="Normal.0"/>
              <w:numPr>
                <w:ilvl w:val="0"/>
                <w:numId w:val="6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Аванс</w:t>
            </w:r>
            <w:r>
              <w:rPr>
                <w:rtl w:val="0"/>
                <w:lang w:val="en-US"/>
              </w:rPr>
              <w:t>.</w:t>
            </w:r>
          </w:p>
          <w:p>
            <w:pPr>
              <w:pStyle w:val="Normal.0"/>
              <w:numPr>
                <w:ilvl w:val="0"/>
                <w:numId w:val="6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>Полная оплата в момент передачи предмета расчёта</w:t>
            </w:r>
            <w:r>
              <w:rPr>
                <w:rtl w:val="0"/>
                <w:lang w:val="ru-RU"/>
              </w:rPr>
              <w:t>.</w:t>
            </w:r>
          </w:p>
          <w:p>
            <w:pPr>
              <w:pStyle w:val="Normal.0"/>
              <w:numPr>
                <w:ilvl w:val="0"/>
                <w:numId w:val="6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>Частичная оплата предмета расчёта в момент его передачи с последующей оплатой в кредит</w:t>
            </w:r>
            <w:r>
              <w:rPr>
                <w:rtl w:val="0"/>
                <w:lang w:val="ru-RU"/>
              </w:rPr>
              <w:t>.</w:t>
            </w:r>
          </w:p>
          <w:p>
            <w:pPr>
              <w:pStyle w:val="Normal.0"/>
              <w:numPr>
                <w:ilvl w:val="0"/>
                <w:numId w:val="6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>Передача предмета расчёта без его оплаты в момент его передачи с последующей оплатой в кредит</w:t>
            </w:r>
            <w:r>
              <w:rPr>
                <w:rtl w:val="0"/>
                <w:lang w:val="ru-RU"/>
              </w:rPr>
              <w:t>.</w:t>
            </w:r>
          </w:p>
          <w:p>
            <w:pPr>
              <w:pStyle w:val="Normal.0"/>
              <w:numPr>
                <w:ilvl w:val="0"/>
                <w:numId w:val="6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>Оплата предмета расчёта после его передачи с оплатой в кредит</w:t>
            </w:r>
            <w:r>
              <w:rPr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3963" w:hRule="atLeast"/>
        </w:trPr>
        <w:tc>
          <w:tcPr>
            <w:tcW w:type="dxa" w:w="4100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Тип оплачиваемой позиции</w:t>
            </w:r>
            <w:r>
              <w:rPr/>
            </w:r>
          </w:p>
        </w:tc>
        <w:tc>
          <w:tcPr>
            <w:tcW w:type="dxa" w:w="4387"/>
            <w:tcBorders>
              <w:top w:val="single" w:color="dddddd" w:sz="4" w:space="0" w:shadow="0" w:frame="0"/>
              <w:left w:val="single" w:color="dddddd" w:sz="4" w:space="0" w:shadow="0" w:frame="0"/>
              <w:bottom w:val="single" w:color="dddddd" w:sz="4" w:space="0" w:shadow="0" w:frame="0"/>
              <w:right w:val="single" w:color="dddddd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en-US"/>
              </w:rPr>
              <w:t>Возможны следующие значения</w:t>
            </w:r>
            <w:r>
              <w:rPr>
                <w:rtl w:val="0"/>
                <w:lang w:val="en-US"/>
              </w:rPr>
              <w:t>:</w:t>
            </w:r>
          </w:p>
          <w:p>
            <w:pPr>
              <w:pStyle w:val="Normal.0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Товар</w:t>
            </w:r>
            <w:r>
              <w:rPr>
                <w:rtl w:val="0"/>
                <w:lang w:val="en-US"/>
              </w:rPr>
              <w:t>.</w:t>
            </w:r>
          </w:p>
          <w:p>
            <w:pPr>
              <w:pStyle w:val="Normal.0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Подакцизный товар</w:t>
            </w:r>
            <w:r>
              <w:rPr>
                <w:rtl w:val="0"/>
                <w:lang w:val="en-US"/>
              </w:rPr>
              <w:t>.</w:t>
            </w:r>
          </w:p>
          <w:p>
            <w:pPr>
              <w:pStyle w:val="Normal.0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Работа</w:t>
            </w:r>
            <w:r>
              <w:rPr>
                <w:rtl w:val="0"/>
                <w:lang w:val="en-US"/>
              </w:rPr>
              <w:t>.</w:t>
            </w:r>
          </w:p>
          <w:p>
            <w:pPr>
              <w:pStyle w:val="Normal.0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Услуга</w:t>
            </w:r>
            <w:r>
              <w:rPr>
                <w:rtl w:val="0"/>
                <w:lang w:val="en-US"/>
              </w:rPr>
              <w:t>.</w:t>
            </w:r>
          </w:p>
          <w:p>
            <w:pPr>
              <w:pStyle w:val="Normal.0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Ставка азартной игры</w:t>
            </w:r>
            <w:r>
              <w:rPr>
                <w:rtl w:val="0"/>
                <w:lang w:val="en-US"/>
              </w:rPr>
              <w:t>.</w:t>
            </w:r>
          </w:p>
          <w:p>
            <w:pPr>
              <w:pStyle w:val="Normal.0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Лотерейный билет</w:t>
            </w:r>
            <w:r>
              <w:rPr>
                <w:rtl w:val="0"/>
                <w:lang w:val="en-US"/>
              </w:rPr>
              <w:t>.</w:t>
            </w:r>
          </w:p>
          <w:p>
            <w:pPr>
              <w:pStyle w:val="Normal.0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Предоставление РИД</w:t>
            </w:r>
            <w:r>
              <w:rPr>
                <w:rtl w:val="0"/>
                <w:lang w:val="en-US"/>
              </w:rPr>
              <w:t>.</w:t>
            </w:r>
          </w:p>
          <w:p>
            <w:pPr>
              <w:pStyle w:val="Normal.0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Платёж</w:t>
            </w:r>
            <w:r>
              <w:rPr>
                <w:rtl w:val="0"/>
                <w:lang w:val="en-US"/>
              </w:rPr>
              <w:t>.</w:t>
            </w:r>
          </w:p>
          <w:p>
            <w:pPr>
              <w:pStyle w:val="Normal.0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Агентское вознаграждение</w:t>
            </w:r>
            <w:r>
              <w:rPr>
                <w:rtl w:val="0"/>
                <w:lang w:val="en-US"/>
              </w:rPr>
              <w:t>.</w:t>
            </w:r>
          </w:p>
          <w:p>
            <w:pPr>
              <w:pStyle w:val="Normal.0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Составной предмет расчёта</w:t>
            </w:r>
            <w:r>
              <w:rPr>
                <w:rtl w:val="0"/>
                <w:lang w:val="en-US"/>
              </w:rPr>
              <w:t>.</w:t>
            </w:r>
          </w:p>
          <w:p>
            <w:pPr>
              <w:pStyle w:val="Normal.0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tl w:val="0"/>
                <w:lang w:val="en-US"/>
              </w:rPr>
              <w:t>Иной предмет расчёта</w:t>
            </w:r>
            <w:r>
              <w:rPr>
                <w:rtl w:val="0"/>
                <w:lang w:val="en-US"/>
              </w:rPr>
              <w:t>.</w:t>
            </w:r>
          </w:p>
        </w:tc>
      </w:tr>
    </w:tbl>
    <w:p>
      <w:pPr>
        <w:pStyle w:val="Normal.0"/>
        <w:widowControl w:val="0"/>
      </w:pPr>
    </w:p>
    <w:p>
      <w:pPr>
        <w:pStyle w:val="Normal.0"/>
      </w:pPr>
      <w:r>
        <w:rPr>
          <w:b w:val="1"/>
          <w:bCs w:val="1"/>
          <w:rtl w:val="0"/>
          <w:lang w:val="ru-RU"/>
        </w:rPr>
        <w:t>Сохранить изменения</w:t>
      </w:r>
      <w:r>
        <w:rPr>
          <w:b w:val="1"/>
          <w:bCs w:val="1"/>
          <w:rtl w:val="0"/>
          <w:lang w:val="ru-RU"/>
        </w:rPr>
        <w:t>,</w:t>
      </w:r>
      <w:r>
        <w:rPr>
          <w:rtl w:val="0"/>
          <w:lang w:val="ru-RU"/>
        </w:rPr>
        <w:t xml:space="preserve"> в области уведомлений отобразится</w:t>
      </w:r>
      <w:r>
        <w:rPr>
          <w:rtl w:val="0"/>
          <w:lang w:val="ru-RU"/>
        </w:rPr>
        <w:t>:</w:t>
      </w:r>
      <w:r>
        <w:rPr>
          <w:rtl w:val="0"/>
          <w:lang w:val="en-US"/>
        </w:rPr>
        <w:t> </w:t>
      </w:r>
      <w:r>
        <w:rPr>
          <w:b w:val="1"/>
          <w:bCs w:val="1"/>
          <w:rtl w:val="0"/>
          <w:lang w:val="ru-RU"/>
        </w:rPr>
        <w:t>Ваши настройки сохранены</w:t>
      </w:r>
      <w:r>
        <w:rPr>
          <w:rtl w:val="0"/>
          <w:lang w:val="ru-RU"/>
        </w:rPr>
        <w:t>.</w:t>
      </w:r>
    </w:p>
    <w:sectPr>
      <w:headerReference w:type="default" r:id="rId5"/>
      <w:footerReference w:type="default" r:id="rId6"/>
      <w:pgSz w:w="11900" w:h="16840" w:orient="portrait"/>
      <w:pgMar w:top="1440" w:right="1701" w:bottom="1440" w:left="170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ind w:left="431" w:hanging="43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tabs>
          <w:tab w:val="clear" w:pos="567"/>
        </w:tabs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284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">
    <w:name w:val="Колонтитул"/>
    <w:next w:val="Колонтитул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eading 1">
    <w:name w:val="heading 1"/>
    <w:next w:val="Normal.0"/>
    <w:pPr>
      <w:keepNext w:val="1"/>
      <w:keepLines w:val="0"/>
      <w:pageBreakBefore w:val="1"/>
      <w:widowControl w:val="1"/>
      <w:shd w:val="clear" w:color="auto" w:fill="auto"/>
      <w:tabs>
        <w:tab w:val="left" w:pos="567"/>
      </w:tabs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404040"/>
      <w:spacing w:val="0"/>
      <w:kern w:val="32"/>
      <w:position w:val="0"/>
      <w:sz w:val="32"/>
      <w:szCs w:val="32"/>
      <w:u w:val="none" w:color="404040"/>
      <w:vertAlign w:val="baseline"/>
      <w:lang w:val="en-US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